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Default Extension="gif" ContentType="image/gif"/>
  <Override PartName="/word/charts/chart15.xml" ContentType="application/vnd.openxmlformats-officedocument.drawingml.chart+xml"/>
  <Override PartName="/word/charts/chart16.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012F5" w:rsidRDefault="00C012F5"/>
    <w:p w:rsidR="00C012F5" w:rsidRDefault="00A93FFF">
      <w:r>
        <w:rPr>
          <w:noProof/>
          <w:lang w:eastAsia="pl-PL"/>
        </w:rPr>
        <w:pict>
          <v:shapetype id="_x0000_t202" coordsize="21600,21600" o:spt="202" path="m,l,21600r21600,l21600,xe">
            <v:stroke joinstyle="miter"/>
            <v:path gradientshapeok="t" o:connecttype="rect"/>
          </v:shapetype>
          <v:shape id="Pole tekstowe 2" o:spid="_x0000_s1026" type="#_x0000_t202" style="position:absolute;left:0;text-align:left;margin-left:280.9pt;margin-top:14.45pt;width:198pt;height:67.55pt;z-index:251662336;visibility:visible;mso-height-percent:200;mso-wrap-distance-top:3.6pt;mso-wrap-distance-bottom:3.6pt;mso-position-horizontal-relative:margin;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" strokecolor="white [3212]">
            <v:textbox style="mso-fit-shape-to-text:t">
              <w:txbxContent>
                <w:p w:rsidR="00871648" w:rsidRPr="00CB3E00" w:rsidRDefault="00871648" w:rsidP="00C012F5">
                  <w:pPr>
                    <w:spacing w:line="240" w:lineRule="auto"/>
                    <w:rPr>
                      <w:rFonts w:ascii="Cambria" w:hAnsi="Cambria"/>
                    </w:rPr>
                  </w:pPr>
                  <w:r w:rsidRPr="00CB3E00">
                    <w:rPr>
                      <w:rFonts w:ascii="Cambria" w:hAnsi="Cambria"/>
                    </w:rPr>
                    <w:t>ZAŁĄCZNIK NR…………………………………</w:t>
                  </w:r>
                </w:p>
                <w:p w:rsidR="00871648" w:rsidRPr="00CB3E00" w:rsidRDefault="00871648" w:rsidP="00C012F5">
                  <w:pPr>
                    <w:spacing w:after="0" w:line="240" w:lineRule="auto"/>
                    <w:rPr>
                      <w:rFonts w:ascii="Cambria" w:hAnsi="Cambria"/>
                    </w:rPr>
                  </w:pPr>
                  <w:r w:rsidRPr="00CB3E00">
                    <w:rPr>
                      <w:rFonts w:ascii="Cambria" w:hAnsi="Cambria"/>
                    </w:rPr>
                    <w:t>DO UCHWAŁY NR…………………………….</w:t>
                  </w:r>
                </w:p>
                <w:p w:rsidR="00871648" w:rsidRPr="00CB3E00" w:rsidRDefault="00871648" w:rsidP="00C012F5">
                  <w:pPr>
                    <w:spacing w:after="0" w:line="240" w:lineRule="auto"/>
                    <w:rPr>
                      <w:rFonts w:ascii="Cambria" w:hAnsi="Cambria"/>
                    </w:rPr>
                  </w:pPr>
                  <w:r w:rsidRPr="00CB3E00">
                    <w:rPr>
                      <w:rFonts w:ascii="Cambria" w:hAnsi="Cambria"/>
                    </w:rPr>
                    <w:t xml:space="preserve">RADY </w:t>
                  </w:r>
                  <w:r>
                    <w:rPr>
                      <w:rFonts w:ascii="Cambria" w:hAnsi="Cambria"/>
                    </w:rPr>
                    <w:t>GMINY</w:t>
                  </w:r>
                  <w:r w:rsidRPr="00CB3E00">
                    <w:rPr>
                      <w:rFonts w:ascii="Cambria" w:hAnsi="Cambria"/>
                    </w:rPr>
                    <w:t xml:space="preserve"> W </w:t>
                  </w:r>
                  <w:r>
                    <w:rPr>
                      <w:rFonts w:ascii="Cambria" w:hAnsi="Cambria"/>
                    </w:rPr>
                    <w:t>STRAWCZYNIE</w:t>
                  </w:r>
                </w:p>
                <w:p w:rsidR="00871648" w:rsidRPr="00CB3E00" w:rsidRDefault="00871648" w:rsidP="00C012F5">
                  <w:pPr>
                    <w:spacing w:after="0" w:line="240" w:lineRule="auto"/>
                    <w:rPr>
                      <w:rFonts w:ascii="Cambria" w:hAnsi="Cambria"/>
                    </w:rPr>
                  </w:pPr>
                  <w:r w:rsidRPr="00CB3E00">
                    <w:rPr>
                      <w:rFonts w:ascii="Cambria" w:hAnsi="Cambria"/>
                    </w:rPr>
                    <w:t>Z DNIA…………………………………………….</w:t>
                  </w:r>
                </w:p>
              </w:txbxContent>
            </v:textbox>
            <w10:wrap type="square" anchorx="margin"/>
          </v:shape>
        </w:pict>
      </w:r>
    </w:p>
    <w:p w:rsidR="00C012F5" w:rsidRDefault="00C012F5"/>
    <w:p w:rsidR="00C012F5" w:rsidRDefault="00C012F5"/>
    <w:p w:rsidR="00C012F5" w:rsidRDefault="00C012F5"/>
    <w:p w:rsidR="00C012F5" w:rsidRDefault="00C012F5"/>
    <w:p w:rsidR="00C012F5" w:rsidRDefault="00C012F5"/>
    <w:p w:rsidR="00C012F5" w:rsidRDefault="00C012F5"/>
    <w:p w:rsidR="00C012F5" w:rsidRPr="0048364A" w:rsidRDefault="00C012F5" w:rsidP="00C012F5">
      <w:pPr>
        <w:jc w:val="left"/>
        <w:rPr>
          <w:b/>
          <w:smallCaps/>
          <w:sz w:val="48"/>
          <w:szCs w:val="44"/>
        </w:rPr>
      </w:pPr>
      <w:r>
        <w:rPr>
          <w:b/>
          <w:smallCaps/>
          <w:noProof/>
          <w:sz w:val="48"/>
          <w:szCs w:val="44"/>
          <w:lang w:eastAsia="pl-PL"/>
        </w:rPr>
        <w:drawing>
          <wp:anchor distT="0" distB="0" distL="114300" distR="114300" simplePos="0" relativeHeight="251663360" behindDoc="0" locked="0" layoutInCell="1" allowOverlap="1">
            <wp:simplePos x="0" y="0"/>
            <wp:positionH relativeFrom="column">
              <wp:posOffset>1995805</wp:posOffset>
            </wp:positionH>
            <wp:positionV relativeFrom="paragraph">
              <wp:posOffset>1689100</wp:posOffset>
            </wp:positionV>
            <wp:extent cx="4019550" cy="4324350"/>
            <wp:effectExtent l="19050" t="0" r="0" b="0"/>
            <wp:wrapSquare wrapText="bothSides"/>
            <wp:docPr id="1" name="Obraz 0" descr="strawczy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wczyn.PNG"/>
                    <pic:cNvPicPr/>
                  </pic:nvPicPr>
                  <pic:blipFill>
                    <a:blip r:embed="rId8" cstate="print"/>
                    <a:stretch>
                      <a:fillRect/>
                    </a:stretch>
                  </pic:blipFill>
                  <pic:spPr>
                    <a:xfrm>
                      <a:off x="0" y="0"/>
                      <a:ext cx="4019550" cy="4324350"/>
                    </a:xfrm>
                    <a:prstGeom prst="rect">
                      <a:avLst/>
                    </a:prstGeom>
                  </pic:spPr>
                </pic:pic>
              </a:graphicData>
            </a:graphic>
          </wp:anchor>
        </w:drawing>
      </w:r>
      <w:r>
        <w:rPr>
          <w:b/>
          <w:smallCaps/>
          <w:sz w:val="48"/>
          <w:szCs w:val="44"/>
        </w:rPr>
        <w:t xml:space="preserve">Projekt </w:t>
      </w:r>
      <w:r w:rsidRPr="0048364A">
        <w:rPr>
          <w:b/>
          <w:smallCaps/>
          <w:sz w:val="48"/>
          <w:szCs w:val="44"/>
        </w:rPr>
        <w:t xml:space="preserve"> założeń do planu zaopatrzenia w ciepło, energię el</w:t>
      </w:r>
      <w:r>
        <w:rPr>
          <w:b/>
          <w:smallCaps/>
          <w:sz w:val="48"/>
          <w:szCs w:val="44"/>
        </w:rPr>
        <w:t>ektryczną i paliwa gazowe              Gminy Strawczyn</w:t>
      </w:r>
    </w:p>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C012F5" w:rsidRDefault="00C012F5"/>
    <w:p w:rsidR="00575A56" w:rsidRDefault="00575A56" w:rsidP="00C012F5">
      <w:pPr>
        <w:ind w:left="850"/>
        <w:rPr>
          <w:rFonts w:asciiTheme="minorHAnsi" w:hAnsiTheme="minorHAnsi" w:cstheme="minorHAnsi"/>
          <w:b/>
          <w:color w:val="000000" w:themeColor="text1"/>
          <w:sz w:val="24"/>
          <w:szCs w:val="24"/>
        </w:rPr>
      </w:pPr>
    </w:p>
    <w:p w:rsidR="00575A56" w:rsidRDefault="00575A56" w:rsidP="00C012F5">
      <w:pPr>
        <w:ind w:left="850"/>
        <w:rPr>
          <w:rFonts w:asciiTheme="minorHAnsi" w:hAnsiTheme="minorHAnsi" w:cstheme="minorHAnsi"/>
          <w:b/>
          <w:color w:val="000000" w:themeColor="text1"/>
          <w:sz w:val="24"/>
          <w:szCs w:val="24"/>
        </w:rPr>
      </w:pPr>
    </w:p>
    <w:p w:rsidR="00C012F5" w:rsidRPr="00C012F5" w:rsidRDefault="00C012F5" w:rsidP="00C012F5">
      <w:pPr>
        <w:ind w:left="850"/>
        <w:rPr>
          <w:rFonts w:asciiTheme="minorHAnsi" w:hAnsiTheme="minorHAnsi" w:cstheme="minorHAnsi"/>
          <w:b/>
          <w:color w:val="000000" w:themeColor="text1"/>
          <w:sz w:val="24"/>
          <w:szCs w:val="24"/>
        </w:rPr>
      </w:pPr>
      <w:r w:rsidRPr="00C012F5">
        <w:rPr>
          <w:rFonts w:asciiTheme="minorHAnsi" w:hAnsiTheme="minorHAnsi" w:cstheme="minorHAnsi"/>
          <w:b/>
          <w:color w:val="000000" w:themeColor="text1"/>
          <w:sz w:val="24"/>
          <w:szCs w:val="24"/>
        </w:rPr>
        <w:t>Opracowanie:</w:t>
      </w:r>
    </w:p>
    <w:p w:rsidR="00C012F5" w:rsidRPr="00921340" w:rsidRDefault="00C012F5" w:rsidP="00C012F5">
      <w:pPr>
        <w:ind w:left="850"/>
        <w:rPr>
          <w:rFonts w:asciiTheme="minorHAnsi" w:hAnsiTheme="minorHAnsi" w:cstheme="minorHAnsi"/>
          <w:color w:val="000000" w:themeColor="text1"/>
          <w:sz w:val="24"/>
          <w:szCs w:val="24"/>
        </w:rPr>
      </w:pPr>
      <w:r w:rsidRPr="00921340">
        <w:rPr>
          <w:rFonts w:asciiTheme="minorHAnsi" w:hAnsiTheme="minorHAnsi" w:cstheme="minorHAnsi"/>
          <w:noProof/>
          <w:color w:val="000000" w:themeColor="text1"/>
          <w:sz w:val="24"/>
          <w:szCs w:val="24"/>
          <w:lang w:eastAsia="pl-PL"/>
        </w:rPr>
        <w:drawing>
          <wp:anchor distT="0" distB="0" distL="114300" distR="114300" simplePos="0" relativeHeight="251660288" behindDoc="0" locked="0" layoutInCell="1" allowOverlap="1">
            <wp:simplePos x="0" y="0"/>
            <wp:positionH relativeFrom="column">
              <wp:posOffset>-43815</wp:posOffset>
            </wp:positionH>
            <wp:positionV relativeFrom="paragraph">
              <wp:posOffset>72390</wp:posOffset>
            </wp:positionV>
            <wp:extent cx="3838575" cy="1476375"/>
            <wp:effectExtent l="0" t="0" r="0" b="0"/>
            <wp:wrapSquare wrapText="bothSides"/>
            <wp:docPr id="14" name="Obraz 0" descr="logoC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logoCDE.jpg"/>
                    <pic:cNvPicPr>
                      <a:picLocks noChangeAspect="1" noChangeArrowheads="1"/>
                    </pic:cNvPicPr>
                  </pic:nvPicPr>
                  <pic:blipFill>
                    <a:blip r:embed="rId9" cstate="print"/>
                    <a:srcRect/>
                    <a:stretch>
                      <a:fillRect/>
                    </a:stretch>
                  </pic:blipFill>
                  <pic:spPr bwMode="auto">
                    <a:xfrm>
                      <a:off x="0" y="0"/>
                      <a:ext cx="3838575" cy="1476375"/>
                    </a:xfrm>
                    <a:prstGeom prst="rect">
                      <a:avLst/>
                    </a:prstGeom>
                    <a:noFill/>
                    <a:ln w="9525">
                      <a:noFill/>
                      <a:miter lim="800000"/>
                      <a:headEnd/>
                      <a:tailEnd/>
                    </a:ln>
                  </pic:spPr>
                </pic:pic>
              </a:graphicData>
            </a:graphic>
          </wp:anchor>
        </w:drawing>
      </w:r>
    </w:p>
    <w:p w:rsidR="00C012F5" w:rsidRPr="00921340" w:rsidRDefault="00C012F5" w:rsidP="00C012F5">
      <w:pPr>
        <w:ind w:left="850"/>
        <w:rPr>
          <w:rFonts w:asciiTheme="minorHAnsi" w:hAnsiTheme="minorHAnsi" w:cstheme="minorHAnsi"/>
          <w:color w:val="000000" w:themeColor="text1"/>
          <w:sz w:val="24"/>
          <w:szCs w:val="24"/>
        </w:rPr>
      </w:pPr>
    </w:p>
    <w:p w:rsidR="00C012F5" w:rsidRPr="00921340" w:rsidRDefault="00C012F5" w:rsidP="00C012F5">
      <w:pPr>
        <w:ind w:left="850"/>
        <w:rPr>
          <w:rFonts w:asciiTheme="minorHAnsi" w:hAnsiTheme="minorHAnsi" w:cstheme="minorHAnsi"/>
          <w:color w:val="000000" w:themeColor="text1"/>
          <w:sz w:val="24"/>
          <w:szCs w:val="24"/>
        </w:rPr>
      </w:pPr>
    </w:p>
    <w:p w:rsidR="00C012F5" w:rsidRPr="00921340" w:rsidRDefault="00C012F5" w:rsidP="00C012F5">
      <w:pPr>
        <w:ind w:left="850"/>
        <w:rPr>
          <w:rFonts w:asciiTheme="minorHAnsi" w:hAnsiTheme="minorHAnsi" w:cstheme="minorHAnsi"/>
          <w:color w:val="000000" w:themeColor="text1"/>
          <w:sz w:val="24"/>
          <w:szCs w:val="24"/>
        </w:rPr>
      </w:pPr>
    </w:p>
    <w:p w:rsidR="00C012F5" w:rsidRDefault="00C012F5" w:rsidP="00C012F5">
      <w:pPr>
        <w:ind w:left="850"/>
        <w:rPr>
          <w:rFonts w:asciiTheme="minorHAnsi" w:hAnsiTheme="minorHAnsi" w:cstheme="minorHAnsi"/>
          <w:color w:val="000000" w:themeColor="text1"/>
          <w:sz w:val="24"/>
          <w:szCs w:val="24"/>
        </w:rPr>
      </w:pPr>
    </w:p>
    <w:p w:rsidR="00C012F5" w:rsidRPr="00921340" w:rsidRDefault="00A93FFF" w:rsidP="00C012F5">
      <w:pPr>
        <w:ind w:left="850"/>
        <w:rPr>
          <w:rFonts w:asciiTheme="minorHAnsi" w:hAnsiTheme="minorHAnsi" w:cstheme="minorHAnsi"/>
          <w:color w:val="000000" w:themeColor="text1"/>
          <w:sz w:val="24"/>
          <w:szCs w:val="24"/>
        </w:rPr>
      </w:pPr>
      <w:r w:rsidRPr="00A93FFF">
        <w:rPr>
          <w:rFonts w:asciiTheme="minorHAnsi" w:hAnsiTheme="minorHAnsi" w:cstheme="minorHAnsi"/>
          <w:noProof/>
          <w:color w:val="70AD47" w:themeColor="accent6"/>
          <w:sz w:val="24"/>
          <w:szCs w:val="24"/>
          <w:lang w:eastAsia="pl-PL"/>
        </w:rPr>
        <w:pict>
          <v:shapetype id="_x0000_t32" coordsize="21600,21600" o:spt="32" o:oned="t" path="m,l21600,21600e" filled="f">
            <v:path arrowok="t" fillok="f" o:connecttype="none"/>
            <o:lock v:ext="edit" shapetype="t"/>
          </v:shapetype>
          <v:shape id="AutoShape 10" o:spid="_x0000_s1029" type="#_x0000_t32" style="position:absolute;left:0;text-align:left;margin-left:-268.5pt;margin-top:14.05pt;width:251.25pt;height:0;z-index:251661312;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" strokecolor="#ed7d31 [3205]" strokeweight="1.5pt"/>
        </w:pict>
      </w:r>
    </w:p>
    <w:p w:rsidR="00C012F5" w:rsidRPr="00772A22" w:rsidRDefault="00C012F5" w:rsidP="00C012F5">
      <w:pPr>
        <w:ind w:left="850"/>
        <w:rPr>
          <w:rFonts w:ascii="Cambria Math" w:hAnsi="Cambria Math" w:cstheme="minorHAnsi"/>
          <w:b/>
          <w:color w:val="000000" w:themeColor="text1"/>
          <w:sz w:val="24"/>
          <w:szCs w:val="24"/>
        </w:rPr>
      </w:pPr>
      <w:r w:rsidRPr="00772A22">
        <w:rPr>
          <w:rFonts w:ascii="Cambria Math" w:hAnsi="Cambria Math" w:cstheme="minorHAnsi"/>
          <w:b/>
          <w:color w:val="000000" w:themeColor="text1"/>
          <w:sz w:val="24"/>
          <w:szCs w:val="24"/>
        </w:rPr>
        <w:t>Centrum Doradztwa Energetycznego Sp. z o.o.</w:t>
      </w:r>
    </w:p>
    <w:p w:rsidR="00C012F5" w:rsidRPr="00772A22" w:rsidRDefault="00C012F5" w:rsidP="00C012F5">
      <w:pPr>
        <w:rPr>
          <w:rFonts w:ascii="Cambria Math" w:hAnsi="Cambria Math" w:cstheme="minorHAnsi"/>
          <w:b/>
          <w:color w:val="000000" w:themeColor="text1"/>
          <w:sz w:val="24"/>
          <w:szCs w:val="24"/>
        </w:rPr>
      </w:pPr>
      <w:r w:rsidRPr="00772A22">
        <w:rPr>
          <w:rFonts w:ascii="Cambria Math" w:hAnsi="Cambria Math" w:cstheme="minorHAnsi"/>
          <w:b/>
          <w:color w:val="000000" w:themeColor="text1"/>
          <w:sz w:val="24"/>
          <w:szCs w:val="24"/>
        </w:rPr>
        <w:t>Biuro:</w:t>
      </w:r>
    </w:p>
    <w:p w:rsidR="00C012F5" w:rsidRPr="00772A22" w:rsidRDefault="00C012F5" w:rsidP="00C012F5">
      <w:pPr>
        <w:ind w:left="850"/>
        <w:rPr>
          <w:rFonts w:ascii="Cambria Math" w:hAnsi="Cambria Math" w:cstheme="minorHAnsi"/>
          <w:color w:val="000000" w:themeColor="text1"/>
          <w:sz w:val="24"/>
          <w:szCs w:val="24"/>
        </w:rPr>
      </w:pPr>
      <w:r w:rsidRPr="00772A22">
        <w:rPr>
          <w:rFonts w:ascii="Cambria Math" w:hAnsi="Cambria Math" w:cstheme="minorHAnsi"/>
          <w:color w:val="000000" w:themeColor="text1"/>
          <w:sz w:val="24"/>
          <w:szCs w:val="24"/>
        </w:rPr>
        <w:t>ul. Krakowska 11</w:t>
      </w:r>
    </w:p>
    <w:p w:rsidR="00C012F5" w:rsidRPr="00772A22" w:rsidRDefault="00C012F5" w:rsidP="00C012F5">
      <w:pPr>
        <w:ind w:left="850"/>
        <w:rPr>
          <w:rFonts w:ascii="Cambria Math" w:hAnsi="Cambria Math" w:cstheme="minorHAnsi"/>
          <w:color w:val="000000" w:themeColor="text1"/>
          <w:sz w:val="24"/>
          <w:szCs w:val="24"/>
        </w:rPr>
      </w:pPr>
      <w:r w:rsidRPr="00772A22">
        <w:rPr>
          <w:rFonts w:ascii="Cambria Math" w:hAnsi="Cambria Math" w:cstheme="minorHAnsi"/>
          <w:color w:val="000000" w:themeColor="text1"/>
          <w:sz w:val="24"/>
          <w:szCs w:val="24"/>
        </w:rPr>
        <w:t>43-190 Mikołów</w:t>
      </w:r>
    </w:p>
    <w:p w:rsidR="00C012F5" w:rsidRPr="00772A22" w:rsidRDefault="00C012F5" w:rsidP="00C012F5">
      <w:pPr>
        <w:ind w:left="850"/>
        <w:rPr>
          <w:rFonts w:ascii="Cambria Math" w:hAnsi="Cambria Math" w:cstheme="minorHAnsi"/>
          <w:color w:val="000000" w:themeColor="text1"/>
          <w:sz w:val="24"/>
          <w:szCs w:val="24"/>
        </w:rPr>
      </w:pPr>
    </w:p>
    <w:p w:rsidR="00C012F5" w:rsidRPr="00772A22" w:rsidRDefault="00C012F5" w:rsidP="00C012F5">
      <w:pPr>
        <w:ind w:left="850"/>
        <w:rPr>
          <w:rFonts w:ascii="Cambria Math" w:hAnsi="Cambria Math" w:cstheme="minorHAnsi"/>
          <w:b/>
          <w:color w:val="000000" w:themeColor="text1"/>
          <w:sz w:val="24"/>
          <w:szCs w:val="24"/>
        </w:rPr>
      </w:pPr>
      <w:r w:rsidRPr="00772A22">
        <w:rPr>
          <w:rFonts w:ascii="Cambria Math" w:hAnsi="Cambria Math" w:cstheme="minorHAnsi"/>
          <w:b/>
          <w:color w:val="000000" w:themeColor="text1"/>
          <w:sz w:val="24"/>
          <w:szCs w:val="24"/>
        </w:rPr>
        <w:t>Tel/</w:t>
      </w:r>
      <w:proofErr w:type="spellStart"/>
      <w:r w:rsidRPr="00772A22">
        <w:rPr>
          <w:rFonts w:ascii="Cambria Math" w:hAnsi="Cambria Math" w:cstheme="minorHAnsi"/>
          <w:b/>
          <w:color w:val="000000" w:themeColor="text1"/>
          <w:sz w:val="24"/>
          <w:szCs w:val="24"/>
        </w:rPr>
        <w:t>fax</w:t>
      </w:r>
      <w:proofErr w:type="spellEnd"/>
      <w:r w:rsidRPr="00772A22">
        <w:rPr>
          <w:rFonts w:ascii="Cambria Math" w:hAnsi="Cambria Math" w:cstheme="minorHAnsi"/>
          <w:b/>
          <w:color w:val="000000" w:themeColor="text1"/>
          <w:sz w:val="24"/>
          <w:szCs w:val="24"/>
        </w:rPr>
        <w:t>: 32 326 78 16</w:t>
      </w:r>
    </w:p>
    <w:p w:rsidR="00C012F5" w:rsidRPr="00772A22" w:rsidRDefault="00C012F5" w:rsidP="00C012F5">
      <w:pPr>
        <w:ind w:left="850"/>
        <w:rPr>
          <w:rFonts w:ascii="Cambria Math" w:hAnsi="Cambria Math" w:cstheme="minorHAnsi"/>
          <w:color w:val="000000" w:themeColor="text1"/>
          <w:sz w:val="24"/>
          <w:szCs w:val="24"/>
          <w:lang w:val="en-US"/>
        </w:rPr>
      </w:pPr>
      <w:r w:rsidRPr="00772A22">
        <w:rPr>
          <w:rFonts w:ascii="Cambria Math" w:hAnsi="Cambria Math" w:cstheme="minorHAnsi"/>
          <w:color w:val="000000" w:themeColor="text1"/>
          <w:sz w:val="24"/>
          <w:szCs w:val="24"/>
          <w:lang w:val="en-US"/>
        </w:rPr>
        <w:t>e-mail: biuro@ekocde.pl</w:t>
      </w:r>
    </w:p>
    <w:p w:rsidR="00C012F5" w:rsidRPr="00772A22" w:rsidRDefault="00C012F5" w:rsidP="00C012F5">
      <w:pPr>
        <w:ind w:left="850"/>
        <w:rPr>
          <w:rFonts w:ascii="Cambria Math" w:hAnsi="Cambria Math" w:cstheme="minorHAnsi"/>
          <w:color w:val="000000" w:themeColor="text1"/>
          <w:sz w:val="24"/>
          <w:szCs w:val="24"/>
          <w:lang w:val="en-US"/>
        </w:rPr>
      </w:pPr>
    </w:p>
    <w:p w:rsidR="00C012F5" w:rsidRPr="00772A22" w:rsidRDefault="00C012F5" w:rsidP="00C012F5">
      <w:pPr>
        <w:ind w:left="850"/>
        <w:rPr>
          <w:rFonts w:ascii="Cambria Math" w:hAnsi="Cambria Math" w:cstheme="minorHAnsi"/>
          <w:b/>
          <w:i/>
          <w:color w:val="000000" w:themeColor="text1"/>
          <w:sz w:val="24"/>
          <w:szCs w:val="24"/>
          <w:lang w:val="en-US"/>
        </w:rPr>
      </w:pPr>
      <w:proofErr w:type="spellStart"/>
      <w:r w:rsidRPr="00772A22">
        <w:rPr>
          <w:rFonts w:ascii="Cambria Math" w:hAnsi="Cambria Math" w:cstheme="minorHAnsi"/>
          <w:b/>
          <w:i/>
          <w:color w:val="000000" w:themeColor="text1"/>
          <w:sz w:val="24"/>
          <w:szCs w:val="24"/>
          <w:lang w:val="en-US"/>
        </w:rPr>
        <w:t>Zespółautorów</w:t>
      </w:r>
      <w:proofErr w:type="spellEnd"/>
      <w:r w:rsidRPr="00772A22">
        <w:rPr>
          <w:rFonts w:ascii="Cambria Math" w:hAnsi="Cambria Math" w:cstheme="minorHAnsi"/>
          <w:b/>
          <w:i/>
          <w:color w:val="000000" w:themeColor="text1"/>
          <w:sz w:val="24"/>
          <w:szCs w:val="24"/>
          <w:lang w:val="en-US"/>
        </w:rPr>
        <w:t>:</w:t>
      </w:r>
    </w:p>
    <w:p w:rsidR="00C012F5" w:rsidRPr="00772A22" w:rsidRDefault="00C012F5" w:rsidP="00C012F5">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Agnieszka Kopańska</w:t>
      </w:r>
    </w:p>
    <w:p w:rsidR="00C012F5" w:rsidRPr="00772A22" w:rsidRDefault="00C012F5" w:rsidP="00C012F5">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Klaudia Moroń</w:t>
      </w:r>
    </w:p>
    <w:p w:rsidR="00C012F5" w:rsidRPr="00772A22" w:rsidRDefault="00C012F5" w:rsidP="00C012F5">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 xml:space="preserve">Michał </w:t>
      </w:r>
      <w:proofErr w:type="spellStart"/>
      <w:r w:rsidRPr="00772A22">
        <w:rPr>
          <w:rFonts w:ascii="Cambria Math" w:hAnsi="Cambria Math" w:cstheme="minorHAnsi"/>
          <w:i/>
          <w:color w:val="000000" w:themeColor="text1"/>
          <w:sz w:val="24"/>
          <w:szCs w:val="24"/>
        </w:rPr>
        <w:t>Mroskowiak</w:t>
      </w:r>
      <w:proofErr w:type="spellEnd"/>
    </w:p>
    <w:p w:rsidR="00C012F5" w:rsidRPr="00772A22" w:rsidRDefault="00C012F5" w:rsidP="00C012F5">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Wojciech Płachetka</w:t>
      </w:r>
    </w:p>
    <w:p w:rsidR="00C012F5" w:rsidRPr="00772A22" w:rsidRDefault="00C012F5" w:rsidP="00C012F5">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 xml:space="preserve">Agnieszka </w:t>
      </w:r>
      <w:proofErr w:type="spellStart"/>
      <w:r w:rsidRPr="00772A22">
        <w:rPr>
          <w:rFonts w:ascii="Cambria Math" w:hAnsi="Cambria Math" w:cstheme="minorHAnsi"/>
          <w:i/>
          <w:color w:val="000000" w:themeColor="text1"/>
          <w:sz w:val="24"/>
          <w:szCs w:val="24"/>
        </w:rPr>
        <w:t>Skrabut</w:t>
      </w:r>
      <w:proofErr w:type="spellEnd"/>
    </w:p>
    <w:p w:rsidR="00C012F5" w:rsidRPr="00772A22" w:rsidRDefault="00C012F5" w:rsidP="00C012F5">
      <w:pPr>
        <w:ind w:left="850"/>
        <w:rPr>
          <w:rFonts w:ascii="Cambria Math" w:hAnsi="Cambria Math" w:cstheme="minorHAnsi"/>
          <w:color w:val="000000" w:themeColor="text1"/>
          <w:sz w:val="24"/>
          <w:szCs w:val="24"/>
        </w:rPr>
      </w:pPr>
      <w:r w:rsidRPr="00772A22">
        <w:rPr>
          <w:rFonts w:ascii="Cambria Math" w:hAnsi="Cambria Math" w:cstheme="minorHAnsi"/>
          <w:i/>
          <w:color w:val="000000" w:themeColor="text1"/>
          <w:sz w:val="24"/>
          <w:szCs w:val="24"/>
        </w:rPr>
        <w:t>Ewelina Tabor</w:t>
      </w:r>
    </w:p>
    <w:p w:rsidR="00C012F5" w:rsidRPr="00772A22" w:rsidRDefault="00C012F5" w:rsidP="00C012F5">
      <w:pPr>
        <w:rPr>
          <w:rFonts w:ascii="Cambria Math" w:hAnsi="Cambria Math" w:cstheme="minorHAnsi"/>
          <w:color w:val="000000" w:themeColor="text1"/>
          <w:sz w:val="24"/>
          <w:szCs w:val="24"/>
        </w:rPr>
      </w:pPr>
    </w:p>
    <w:p w:rsidR="00C012F5" w:rsidRPr="00772A22" w:rsidRDefault="00C012F5" w:rsidP="00C012F5">
      <w:pPr>
        <w:rPr>
          <w:rFonts w:ascii="Cambria Math" w:hAnsi="Cambria Math" w:cstheme="minorHAnsi"/>
          <w:b/>
          <w:i/>
          <w:color w:val="000000" w:themeColor="text1"/>
          <w:sz w:val="24"/>
          <w:szCs w:val="24"/>
        </w:rPr>
      </w:pPr>
      <w:r w:rsidRPr="00772A22">
        <w:rPr>
          <w:rFonts w:ascii="Cambria Math" w:hAnsi="Cambria Math" w:cstheme="minorHAnsi"/>
          <w:b/>
          <w:i/>
          <w:color w:val="000000" w:themeColor="text1"/>
          <w:sz w:val="24"/>
          <w:szCs w:val="24"/>
        </w:rPr>
        <w:t>Kierownik projektu:</w:t>
      </w:r>
    </w:p>
    <w:p w:rsidR="00C012F5" w:rsidRPr="00772A22" w:rsidRDefault="00C012F5" w:rsidP="00C012F5">
      <w:pPr>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 xml:space="preserve">               Agnieszka </w:t>
      </w:r>
      <w:proofErr w:type="spellStart"/>
      <w:r w:rsidRPr="00772A22">
        <w:rPr>
          <w:rFonts w:ascii="Cambria Math" w:hAnsi="Cambria Math" w:cstheme="minorHAnsi"/>
          <w:i/>
          <w:color w:val="000000" w:themeColor="text1"/>
          <w:sz w:val="24"/>
          <w:szCs w:val="24"/>
        </w:rPr>
        <w:t>Skrabut</w:t>
      </w:r>
      <w:proofErr w:type="spellEnd"/>
    </w:p>
    <w:p w:rsidR="00C012F5" w:rsidRDefault="00C012F5"/>
    <w:p w:rsidR="006C31EB" w:rsidRDefault="006C31EB"/>
    <w:sdt>
      <w:sdtPr>
        <w:rPr>
          <w:rFonts w:ascii="Times New Roman" w:eastAsiaTheme="minorHAnsi" w:hAnsi="Times New Roman" w:cs="Times New Roman"/>
          <w:b w:val="0"/>
          <w:bCs w:val="0"/>
          <w:color w:val="auto"/>
          <w:sz w:val="20"/>
          <w:szCs w:val="20"/>
        </w:rPr>
        <w:id w:val="185519"/>
        <w:docPartObj>
          <w:docPartGallery w:val="Table of Contents"/>
          <w:docPartUnique/>
        </w:docPartObj>
      </w:sdtPr>
      <w:sdtEndPr>
        <w:rPr>
          <w:rFonts w:ascii="Georgia" w:hAnsi="Georgia" w:cstheme="minorBidi"/>
          <w:sz w:val="22"/>
          <w:szCs w:val="22"/>
        </w:rPr>
      </w:sdtEndPr>
      <w:sdtContent>
        <w:p w:rsidR="006C31EB" w:rsidRPr="00F90117" w:rsidRDefault="006C31EB">
          <w:pPr>
            <w:pStyle w:val="Nagwekspisutreci"/>
            <w:rPr>
              <w:rFonts w:ascii="Times New Roman" w:hAnsi="Times New Roman" w:cs="Times New Roman"/>
              <w:sz w:val="20"/>
              <w:szCs w:val="20"/>
            </w:rPr>
          </w:pPr>
          <w:r w:rsidRPr="00F90117">
            <w:rPr>
              <w:rFonts w:ascii="Times New Roman" w:hAnsi="Times New Roman" w:cs="Times New Roman"/>
              <w:color w:val="auto"/>
            </w:rPr>
            <w:t>SPIS TREŚCI</w:t>
          </w:r>
          <w:r w:rsidR="00560C56">
            <w:rPr>
              <w:rFonts w:ascii="Times New Roman" w:hAnsi="Times New Roman" w:cs="Times New Roman"/>
              <w:color w:val="auto"/>
            </w:rPr>
            <w:t>:</w:t>
          </w:r>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r w:rsidRPr="00A93FFF">
            <w:rPr>
              <w:rFonts w:ascii="Times New Roman" w:hAnsi="Times New Roman" w:cs="Times New Roman"/>
              <w:sz w:val="20"/>
              <w:szCs w:val="20"/>
            </w:rPr>
            <w:fldChar w:fldCharType="begin"/>
          </w:r>
          <w:r w:rsidR="006C31EB" w:rsidRPr="00F90117">
            <w:rPr>
              <w:rFonts w:ascii="Times New Roman" w:hAnsi="Times New Roman" w:cs="Times New Roman"/>
              <w:sz w:val="20"/>
              <w:szCs w:val="20"/>
            </w:rPr>
            <w:instrText xml:space="preserve"> TOC \o "1-3" \h \z \u </w:instrText>
          </w:r>
          <w:r w:rsidRPr="00A93FFF">
            <w:rPr>
              <w:rFonts w:ascii="Times New Roman" w:hAnsi="Times New Roman" w:cs="Times New Roman"/>
              <w:sz w:val="20"/>
              <w:szCs w:val="20"/>
            </w:rPr>
            <w:fldChar w:fldCharType="separate"/>
          </w:r>
          <w:hyperlink w:anchor="_Toc427734945" w:history="1">
            <w:r w:rsidR="006C31EB" w:rsidRPr="00F90117">
              <w:rPr>
                <w:rStyle w:val="Hipercze"/>
                <w:rFonts w:ascii="Times New Roman" w:hAnsi="Times New Roman" w:cs="Times New Roman"/>
                <w:b w:val="0"/>
                <w:noProof/>
                <w:sz w:val="20"/>
                <w:szCs w:val="20"/>
              </w:rPr>
              <w:t>SPIS MAP</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_Toc427734945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6</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46" w:history="1">
            <w:r w:rsidR="006C31EB" w:rsidRPr="00F90117">
              <w:rPr>
                <w:rStyle w:val="Hipercze"/>
                <w:rFonts w:ascii="Times New Roman" w:hAnsi="Times New Roman" w:cs="Times New Roman"/>
                <w:b w:val="0"/>
                <w:noProof/>
                <w:sz w:val="20"/>
                <w:szCs w:val="20"/>
              </w:rPr>
              <w:t>SPIS TABEL</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_Toc427734946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6</w:t>
            </w:r>
            <w:r w:rsidRPr="00F90117">
              <w:rPr>
                <w:rFonts w:ascii="Times New Roman" w:hAnsi="Times New Roman" w:cs="Times New Roman"/>
                <w:b w:val="0"/>
                <w:noProof/>
                <w:webHidden/>
                <w:sz w:val="20"/>
                <w:szCs w:val="20"/>
              </w:rPr>
              <w:fldChar w:fldCharType="end"/>
            </w:r>
          </w:hyperlink>
        </w:p>
        <w:p w:rsidR="006C31EB" w:rsidRDefault="00A93FFF" w:rsidP="006C31EB">
          <w:pPr>
            <w:pStyle w:val="Spistreci1"/>
            <w:rPr>
              <w:noProof/>
            </w:rPr>
          </w:pPr>
          <w:hyperlink w:anchor="_Toc427734947" w:history="1">
            <w:r w:rsidR="006C31EB" w:rsidRPr="00F90117">
              <w:rPr>
                <w:rStyle w:val="Hipercze"/>
                <w:rFonts w:ascii="Times New Roman" w:hAnsi="Times New Roman" w:cs="Times New Roman"/>
                <w:b w:val="0"/>
                <w:noProof/>
                <w:sz w:val="20"/>
                <w:szCs w:val="20"/>
              </w:rPr>
              <w:t>Spis Wykresów</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_Toc427734947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7</w:t>
            </w:r>
            <w:r w:rsidRPr="00F90117">
              <w:rPr>
                <w:rFonts w:ascii="Times New Roman" w:hAnsi="Times New Roman" w:cs="Times New Roman"/>
                <w:b w:val="0"/>
                <w:noProof/>
                <w:webHidden/>
                <w:sz w:val="20"/>
                <w:szCs w:val="20"/>
              </w:rPr>
              <w:fldChar w:fldCharType="end"/>
            </w:r>
          </w:hyperlink>
        </w:p>
        <w:p w:rsidR="007813D7" w:rsidRPr="00F90117" w:rsidRDefault="00A93FFF" w:rsidP="007813D7">
          <w:pPr>
            <w:pStyle w:val="Spistreci1"/>
            <w:rPr>
              <w:rFonts w:ascii="Times New Roman" w:eastAsiaTheme="minorEastAsia" w:hAnsi="Times New Roman" w:cs="Times New Roman"/>
              <w:b w:val="0"/>
              <w:noProof/>
              <w:sz w:val="20"/>
              <w:szCs w:val="20"/>
              <w:lang w:eastAsia="pl-PL"/>
            </w:rPr>
          </w:pPr>
          <w:hyperlink w:anchor="_Toc427734944" w:history="1">
            <w:r w:rsidR="007813D7" w:rsidRPr="00F90117">
              <w:rPr>
                <w:rStyle w:val="Hipercze"/>
                <w:rFonts w:ascii="Times New Roman" w:hAnsi="Times New Roman" w:cs="Times New Roman"/>
                <w:b w:val="0"/>
                <w:noProof/>
                <w:sz w:val="20"/>
                <w:szCs w:val="20"/>
              </w:rPr>
              <w:t>SPIS RYSUNKÓW</w:t>
            </w:r>
            <w:r w:rsidR="007813D7"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7813D7" w:rsidRPr="00F90117">
              <w:rPr>
                <w:rFonts w:ascii="Times New Roman" w:hAnsi="Times New Roman" w:cs="Times New Roman"/>
                <w:b w:val="0"/>
                <w:noProof/>
                <w:webHidden/>
                <w:sz w:val="20"/>
                <w:szCs w:val="20"/>
              </w:rPr>
              <w:instrText xml:space="preserve"> PAGEREF _Toc427734944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8</w:t>
            </w:r>
            <w:r w:rsidRPr="00F90117">
              <w:rPr>
                <w:rFonts w:ascii="Times New Roman" w:hAnsi="Times New Roman" w:cs="Times New Roman"/>
                <w:b w:val="0"/>
                <w:noProof/>
                <w:webHidden/>
                <w:sz w:val="20"/>
                <w:szCs w:val="20"/>
              </w:rPr>
              <w:fldChar w:fldCharType="end"/>
            </w:r>
          </w:hyperlink>
        </w:p>
        <w:p w:rsidR="007813D7" w:rsidRPr="007813D7" w:rsidRDefault="007813D7" w:rsidP="007813D7">
          <w:pPr>
            <w:rPr>
              <w:noProof/>
            </w:rPr>
          </w:pPr>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48" w:history="1">
            <w:r w:rsidR="006C31EB" w:rsidRPr="00F90117">
              <w:rPr>
                <w:rStyle w:val="Hipercze"/>
                <w:rFonts w:ascii="Times New Roman" w:hAnsi="Times New Roman" w:cs="Times New Roman"/>
                <w:b w:val="0"/>
                <w:noProof/>
                <w:sz w:val="20"/>
                <w:szCs w:val="20"/>
              </w:rPr>
              <w:t>1</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Wykaz jednostek wykorzystywanych w opracowaniu</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_Toc427734948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9</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49" w:history="1">
            <w:r w:rsidR="006C31EB" w:rsidRPr="00F90117">
              <w:rPr>
                <w:rStyle w:val="Hipercze"/>
                <w:rFonts w:ascii="Times New Roman" w:hAnsi="Times New Roman" w:cs="Times New Roman"/>
                <w:b w:val="0"/>
                <w:noProof/>
                <w:sz w:val="20"/>
                <w:szCs w:val="20"/>
              </w:rPr>
              <w:t>2</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Wprowadzenie</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_Toc427734949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11</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50" w:history="1">
            <w:r w:rsidR="006C31EB" w:rsidRPr="00F90117">
              <w:rPr>
                <w:rStyle w:val="Hipercze"/>
                <w:rFonts w:ascii="Times New Roman" w:hAnsi="Times New Roman" w:cs="Times New Roman"/>
                <w:b w:val="0"/>
              </w:rPr>
              <w:t>2.1</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Podstawa prawna opracowania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_Toc427734950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11</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51" w:history="1">
            <w:r w:rsidR="006C31EB" w:rsidRPr="00F90117">
              <w:rPr>
                <w:rStyle w:val="Hipercze"/>
                <w:rFonts w:ascii="Times New Roman" w:hAnsi="Times New Roman" w:cs="Times New Roman"/>
                <w:b w:val="0"/>
              </w:rPr>
              <w:t>2.2</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Cel i zakres opracowania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_Toc427734951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11</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52" w:history="1">
            <w:r w:rsidR="006C31EB" w:rsidRPr="00F90117">
              <w:rPr>
                <w:rStyle w:val="Hipercze"/>
                <w:rFonts w:ascii="Times New Roman" w:hAnsi="Times New Roman" w:cs="Times New Roman"/>
                <w:b w:val="0"/>
              </w:rPr>
              <w:t>2.3</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Akty prawne</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_Toc427734952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12</w:t>
            </w:r>
            <w:r w:rsidRPr="00F90117">
              <w:rPr>
                <w:rFonts w:ascii="Times New Roman" w:hAnsi="Times New Roman" w:cs="Times New Roman"/>
                <w:b w:val="0"/>
                <w:webHidden/>
              </w:rPr>
              <w:fldChar w:fldCharType="end"/>
            </w:r>
          </w:hyperlink>
        </w:p>
        <w:p w:rsidR="006C31EB" w:rsidRPr="00F90117" w:rsidRDefault="00A93FFF" w:rsidP="006C31EB">
          <w:pPr>
            <w:pStyle w:val="Spistreci2"/>
            <w:rPr>
              <w:rStyle w:val="Hipercze"/>
              <w:rFonts w:ascii="Times New Roman" w:hAnsi="Times New Roman" w:cs="Times New Roman"/>
              <w:b w:val="0"/>
            </w:rPr>
          </w:pPr>
          <w:hyperlink w:anchor="_Toc427734953" w:history="1">
            <w:r w:rsidR="006C31EB" w:rsidRPr="00F90117">
              <w:rPr>
                <w:rStyle w:val="Hipercze"/>
                <w:rFonts w:ascii="Times New Roman" w:hAnsi="Times New Roman" w:cs="Times New Roman"/>
                <w:b w:val="0"/>
              </w:rPr>
              <w:t>2.4</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Powiązania z dokumentami strategicznymi</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_Toc427734953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12</w:t>
            </w:r>
            <w:r w:rsidRPr="00F90117">
              <w:rPr>
                <w:rFonts w:ascii="Times New Roman" w:hAnsi="Times New Roman" w:cs="Times New Roman"/>
                <w:b w:val="0"/>
                <w:webHidden/>
              </w:rPr>
              <w:fldChar w:fldCharType="end"/>
            </w:r>
          </w:hyperlink>
        </w:p>
        <w:p w:rsidR="006C31EB" w:rsidRPr="00F90117" w:rsidRDefault="006C31EB" w:rsidP="006C31EB">
          <w:pPr>
            <w:rPr>
              <w:rFonts w:ascii="Times New Roman" w:hAnsi="Times New Roman" w:cs="Times New Roman"/>
              <w:noProof/>
              <w:sz w:val="20"/>
              <w:szCs w:val="20"/>
            </w:rPr>
          </w:pPr>
        </w:p>
        <w:p w:rsidR="006C31EB" w:rsidRPr="00F90117" w:rsidRDefault="00A93FFF" w:rsidP="006C31EB">
          <w:pPr>
            <w:pStyle w:val="Spistreci3"/>
            <w:rPr>
              <w:rStyle w:val="Hipercze"/>
              <w:rFonts w:ascii="Times New Roman" w:hAnsi="Times New Roman" w:cs="Times New Roman"/>
              <w:noProof/>
            </w:rPr>
          </w:pPr>
          <w:hyperlink w:anchor="_Toc427734954" w:history="1">
            <w:r w:rsidR="006C31EB" w:rsidRPr="00F90117">
              <w:rPr>
                <w:rStyle w:val="Hipercze"/>
                <w:rFonts w:ascii="Times New Roman" w:hAnsi="Times New Roman" w:cs="Times New Roman"/>
                <w:noProof/>
              </w:rPr>
              <w:t>2.4.1</w:t>
            </w:r>
            <w:r w:rsidR="006C31EB" w:rsidRPr="00F90117">
              <w:rPr>
                <w:rFonts w:ascii="Times New Roman" w:eastAsiaTheme="minorEastAsia" w:hAnsi="Times New Roman" w:cs="Times New Roman"/>
                <w:noProof/>
                <w:lang w:eastAsia="pl-PL"/>
              </w:rPr>
              <w:tab/>
            </w:r>
            <w:r w:rsidR="006C31EB" w:rsidRPr="00F90117">
              <w:rPr>
                <w:rStyle w:val="Hipercze"/>
                <w:rFonts w:ascii="Times New Roman" w:hAnsi="Times New Roman" w:cs="Times New Roman"/>
                <w:noProof/>
              </w:rPr>
              <w:t>Pakiet klimatyczno-energetyczny</w:t>
            </w:r>
            <w:r w:rsidR="006C31EB" w:rsidRPr="00F90117">
              <w:rPr>
                <w:rFonts w:ascii="Times New Roman" w:hAnsi="Times New Roman" w:cs="Times New Roman"/>
                <w:noProof/>
                <w:webHidden/>
              </w:rPr>
              <w:tab/>
            </w:r>
            <w:r w:rsidRPr="00F90117">
              <w:rPr>
                <w:rFonts w:ascii="Times New Roman" w:hAnsi="Times New Roman" w:cs="Times New Roman"/>
                <w:noProof/>
                <w:webHidden/>
              </w:rPr>
              <w:fldChar w:fldCharType="begin"/>
            </w:r>
            <w:r w:rsidR="006C31EB" w:rsidRPr="00F90117">
              <w:rPr>
                <w:rFonts w:ascii="Times New Roman" w:hAnsi="Times New Roman" w:cs="Times New Roman"/>
                <w:noProof/>
                <w:webHidden/>
              </w:rPr>
              <w:instrText xml:space="preserve"> PAGEREF _Toc427734954 \h </w:instrText>
            </w:r>
            <w:r w:rsidRPr="00F90117">
              <w:rPr>
                <w:rFonts w:ascii="Times New Roman" w:hAnsi="Times New Roman" w:cs="Times New Roman"/>
                <w:noProof/>
                <w:webHidden/>
              </w:rPr>
            </w:r>
            <w:r w:rsidRPr="00F90117">
              <w:rPr>
                <w:rFonts w:ascii="Times New Roman" w:hAnsi="Times New Roman" w:cs="Times New Roman"/>
                <w:noProof/>
                <w:webHidden/>
              </w:rPr>
              <w:fldChar w:fldCharType="separate"/>
            </w:r>
            <w:r w:rsidR="00871648">
              <w:rPr>
                <w:rFonts w:ascii="Times New Roman" w:hAnsi="Times New Roman" w:cs="Times New Roman"/>
                <w:noProof/>
                <w:webHidden/>
              </w:rPr>
              <w:t>12</w:t>
            </w:r>
            <w:r w:rsidRPr="00F90117">
              <w:rPr>
                <w:rFonts w:ascii="Times New Roman" w:hAnsi="Times New Roman" w:cs="Times New Roman"/>
                <w:noProof/>
                <w:webHidden/>
              </w:rPr>
              <w:fldChar w:fldCharType="end"/>
            </w:r>
          </w:hyperlink>
        </w:p>
        <w:p w:rsidR="00613944" w:rsidRPr="00F90117" w:rsidRDefault="00613944" w:rsidP="00613944">
          <w:pPr>
            <w:rPr>
              <w:rFonts w:ascii="Times New Roman" w:hAnsi="Times New Roman" w:cs="Times New Roman"/>
              <w:noProof/>
              <w:sz w:val="20"/>
              <w:szCs w:val="20"/>
            </w:rPr>
          </w:pPr>
        </w:p>
        <w:p w:rsidR="006C31EB" w:rsidRPr="00F90117" w:rsidRDefault="00A93FFF" w:rsidP="006C31EB">
          <w:pPr>
            <w:pStyle w:val="Spistreci3"/>
            <w:rPr>
              <w:rStyle w:val="Hipercze"/>
              <w:rFonts w:ascii="Times New Roman" w:hAnsi="Times New Roman" w:cs="Times New Roman"/>
              <w:noProof/>
            </w:rPr>
          </w:pPr>
          <w:hyperlink w:anchor="_Toc427734955" w:history="1">
            <w:r w:rsidR="006C31EB" w:rsidRPr="00F90117">
              <w:rPr>
                <w:rStyle w:val="Hipercze"/>
                <w:rFonts w:ascii="Times New Roman" w:hAnsi="Times New Roman" w:cs="Times New Roman"/>
                <w:noProof/>
              </w:rPr>
              <w:t>2.4.2</w:t>
            </w:r>
            <w:r w:rsidR="006C31EB" w:rsidRPr="00F90117">
              <w:rPr>
                <w:rFonts w:ascii="Times New Roman" w:eastAsiaTheme="minorEastAsia" w:hAnsi="Times New Roman" w:cs="Times New Roman"/>
                <w:noProof/>
                <w:lang w:eastAsia="pl-PL"/>
              </w:rPr>
              <w:tab/>
            </w:r>
            <w:r w:rsidR="006C31EB" w:rsidRPr="00F90117">
              <w:rPr>
                <w:rStyle w:val="Hipercze"/>
                <w:rFonts w:ascii="Times New Roman" w:hAnsi="Times New Roman" w:cs="Times New Roman"/>
                <w:noProof/>
              </w:rPr>
              <w:t>Dyrektywa 2006/32/WE w sprawie efektywności końcowego wykorzystania energii i usług    energetycznych oraz uchylająca dyrektywę Rady 93/76/EWG</w:t>
            </w:r>
            <w:r w:rsidR="006C31EB" w:rsidRPr="00F90117">
              <w:rPr>
                <w:rFonts w:ascii="Times New Roman" w:hAnsi="Times New Roman" w:cs="Times New Roman"/>
                <w:noProof/>
                <w:webHidden/>
              </w:rPr>
              <w:tab/>
            </w:r>
            <w:r w:rsidRPr="00F90117">
              <w:rPr>
                <w:rFonts w:ascii="Times New Roman" w:hAnsi="Times New Roman" w:cs="Times New Roman"/>
                <w:noProof/>
                <w:webHidden/>
              </w:rPr>
              <w:fldChar w:fldCharType="begin"/>
            </w:r>
            <w:r w:rsidR="006C31EB" w:rsidRPr="00F90117">
              <w:rPr>
                <w:rFonts w:ascii="Times New Roman" w:hAnsi="Times New Roman" w:cs="Times New Roman"/>
                <w:noProof/>
                <w:webHidden/>
              </w:rPr>
              <w:instrText xml:space="preserve"> PAGEREF _Toc427734955 \h </w:instrText>
            </w:r>
            <w:r w:rsidRPr="00F90117">
              <w:rPr>
                <w:rFonts w:ascii="Times New Roman" w:hAnsi="Times New Roman" w:cs="Times New Roman"/>
                <w:noProof/>
                <w:webHidden/>
              </w:rPr>
            </w:r>
            <w:r w:rsidRPr="00F90117">
              <w:rPr>
                <w:rFonts w:ascii="Times New Roman" w:hAnsi="Times New Roman" w:cs="Times New Roman"/>
                <w:noProof/>
                <w:webHidden/>
              </w:rPr>
              <w:fldChar w:fldCharType="separate"/>
            </w:r>
            <w:r w:rsidR="00871648">
              <w:rPr>
                <w:rFonts w:ascii="Times New Roman" w:hAnsi="Times New Roman" w:cs="Times New Roman"/>
                <w:noProof/>
                <w:webHidden/>
              </w:rPr>
              <w:t>12</w:t>
            </w:r>
            <w:r w:rsidRPr="00F90117">
              <w:rPr>
                <w:rFonts w:ascii="Times New Roman" w:hAnsi="Times New Roman" w:cs="Times New Roman"/>
                <w:noProof/>
                <w:webHidden/>
              </w:rPr>
              <w:fldChar w:fldCharType="end"/>
            </w:r>
          </w:hyperlink>
        </w:p>
        <w:p w:rsidR="00613944" w:rsidRPr="00F90117" w:rsidRDefault="00613944" w:rsidP="00613944">
          <w:pPr>
            <w:rPr>
              <w:rFonts w:ascii="Times New Roman" w:hAnsi="Times New Roman" w:cs="Times New Roman"/>
              <w:noProof/>
              <w:sz w:val="20"/>
              <w:szCs w:val="20"/>
            </w:rPr>
          </w:pPr>
        </w:p>
        <w:p w:rsidR="006C31EB" w:rsidRPr="00F90117" w:rsidRDefault="00A93FFF" w:rsidP="006C31EB">
          <w:pPr>
            <w:pStyle w:val="Spistreci3"/>
            <w:rPr>
              <w:rStyle w:val="Hipercze"/>
              <w:rFonts w:ascii="Times New Roman" w:hAnsi="Times New Roman" w:cs="Times New Roman"/>
              <w:noProof/>
            </w:rPr>
          </w:pPr>
          <w:hyperlink w:anchor="_Toc427734956" w:history="1">
            <w:r w:rsidR="006C31EB" w:rsidRPr="00F90117">
              <w:rPr>
                <w:rStyle w:val="Hipercze"/>
                <w:rFonts w:ascii="Times New Roman" w:hAnsi="Times New Roman" w:cs="Times New Roman"/>
                <w:noProof/>
              </w:rPr>
              <w:t>2.4.3</w:t>
            </w:r>
            <w:r w:rsidR="006C31EB" w:rsidRPr="00F90117">
              <w:rPr>
                <w:rFonts w:ascii="Times New Roman" w:eastAsiaTheme="minorEastAsia" w:hAnsi="Times New Roman" w:cs="Times New Roman"/>
                <w:noProof/>
                <w:lang w:eastAsia="pl-PL"/>
              </w:rPr>
              <w:tab/>
            </w:r>
            <w:r w:rsidR="006C31EB" w:rsidRPr="00F90117">
              <w:rPr>
                <w:rStyle w:val="Hipercze"/>
                <w:rFonts w:ascii="Times New Roman" w:hAnsi="Times New Roman" w:cs="Times New Roman"/>
                <w:noProof/>
              </w:rPr>
              <w:t>Dyrektywa 2009/28/WE z dnia 23 kwietnia 2009 r. w sprawie promowania stosowania energii ze źródeł odnawialnych zmieniająca  i w następstwie uchylająca dyrektywy 2001/77/WE oraz 2003/30/WE</w:t>
            </w:r>
            <w:r w:rsidR="006C31EB" w:rsidRPr="00F90117">
              <w:rPr>
                <w:rFonts w:ascii="Times New Roman" w:hAnsi="Times New Roman" w:cs="Times New Roman"/>
                <w:noProof/>
                <w:webHidden/>
              </w:rPr>
              <w:tab/>
            </w:r>
            <w:r w:rsidRPr="00F90117">
              <w:rPr>
                <w:rFonts w:ascii="Times New Roman" w:hAnsi="Times New Roman" w:cs="Times New Roman"/>
                <w:noProof/>
                <w:webHidden/>
              </w:rPr>
              <w:fldChar w:fldCharType="begin"/>
            </w:r>
            <w:r w:rsidR="006C31EB" w:rsidRPr="00F90117">
              <w:rPr>
                <w:rFonts w:ascii="Times New Roman" w:hAnsi="Times New Roman" w:cs="Times New Roman"/>
                <w:noProof/>
                <w:webHidden/>
              </w:rPr>
              <w:instrText xml:space="preserve"> PAGEREF _Toc427734956 \h </w:instrText>
            </w:r>
            <w:r w:rsidRPr="00F90117">
              <w:rPr>
                <w:rFonts w:ascii="Times New Roman" w:hAnsi="Times New Roman" w:cs="Times New Roman"/>
                <w:noProof/>
                <w:webHidden/>
              </w:rPr>
            </w:r>
            <w:r w:rsidRPr="00F90117">
              <w:rPr>
                <w:rFonts w:ascii="Times New Roman" w:hAnsi="Times New Roman" w:cs="Times New Roman"/>
                <w:noProof/>
                <w:webHidden/>
              </w:rPr>
              <w:fldChar w:fldCharType="separate"/>
            </w:r>
            <w:r w:rsidR="00871648">
              <w:rPr>
                <w:rFonts w:ascii="Times New Roman" w:hAnsi="Times New Roman" w:cs="Times New Roman"/>
                <w:noProof/>
                <w:webHidden/>
              </w:rPr>
              <w:t>13</w:t>
            </w:r>
            <w:r w:rsidRPr="00F90117">
              <w:rPr>
                <w:rFonts w:ascii="Times New Roman" w:hAnsi="Times New Roman" w:cs="Times New Roman"/>
                <w:noProof/>
                <w:webHidden/>
              </w:rPr>
              <w:fldChar w:fldCharType="end"/>
            </w:r>
          </w:hyperlink>
        </w:p>
        <w:p w:rsidR="00613944" w:rsidRPr="00F90117" w:rsidRDefault="00613944" w:rsidP="00613944">
          <w:pPr>
            <w:rPr>
              <w:rFonts w:ascii="Times New Roman" w:hAnsi="Times New Roman" w:cs="Times New Roman"/>
              <w:noProof/>
              <w:sz w:val="20"/>
              <w:szCs w:val="20"/>
            </w:rPr>
          </w:pPr>
        </w:p>
        <w:p w:rsidR="006C31EB" w:rsidRPr="00F90117" w:rsidRDefault="00A93FFF" w:rsidP="006C31EB">
          <w:pPr>
            <w:pStyle w:val="Spistreci3"/>
            <w:rPr>
              <w:rStyle w:val="Hipercze"/>
              <w:rFonts w:ascii="Times New Roman" w:hAnsi="Times New Roman" w:cs="Times New Roman"/>
              <w:noProof/>
            </w:rPr>
          </w:pPr>
          <w:hyperlink w:anchor="_Toc427734957" w:history="1">
            <w:r w:rsidR="006C31EB" w:rsidRPr="00F90117">
              <w:rPr>
                <w:rStyle w:val="Hipercze"/>
                <w:rFonts w:ascii="Times New Roman" w:hAnsi="Times New Roman" w:cs="Times New Roman"/>
                <w:noProof/>
              </w:rPr>
              <w:t>2.4.4</w:t>
            </w:r>
            <w:r w:rsidR="006C31EB" w:rsidRPr="00F90117">
              <w:rPr>
                <w:rFonts w:ascii="Times New Roman" w:eastAsiaTheme="minorEastAsia" w:hAnsi="Times New Roman" w:cs="Times New Roman"/>
                <w:noProof/>
                <w:lang w:eastAsia="pl-PL"/>
              </w:rPr>
              <w:tab/>
            </w:r>
            <w:r w:rsidR="006C31EB" w:rsidRPr="00F90117">
              <w:rPr>
                <w:rStyle w:val="Hipercze"/>
                <w:rFonts w:ascii="Times New Roman" w:hAnsi="Times New Roman" w:cs="Times New Roman"/>
                <w:noProof/>
              </w:rPr>
              <w:t>Polityka energetyczna Polski do 2030 roku</w:t>
            </w:r>
            <w:r w:rsidR="006C31EB" w:rsidRPr="00F90117">
              <w:rPr>
                <w:rFonts w:ascii="Times New Roman" w:hAnsi="Times New Roman" w:cs="Times New Roman"/>
                <w:noProof/>
                <w:webHidden/>
              </w:rPr>
              <w:tab/>
            </w:r>
            <w:r w:rsidRPr="00F90117">
              <w:rPr>
                <w:rFonts w:ascii="Times New Roman" w:hAnsi="Times New Roman" w:cs="Times New Roman"/>
                <w:noProof/>
                <w:webHidden/>
              </w:rPr>
              <w:fldChar w:fldCharType="begin"/>
            </w:r>
            <w:r w:rsidR="006C31EB" w:rsidRPr="00F90117">
              <w:rPr>
                <w:rFonts w:ascii="Times New Roman" w:hAnsi="Times New Roman" w:cs="Times New Roman"/>
                <w:noProof/>
                <w:webHidden/>
              </w:rPr>
              <w:instrText xml:space="preserve"> PAGEREF _Toc427734957 \h </w:instrText>
            </w:r>
            <w:r w:rsidRPr="00F90117">
              <w:rPr>
                <w:rFonts w:ascii="Times New Roman" w:hAnsi="Times New Roman" w:cs="Times New Roman"/>
                <w:noProof/>
                <w:webHidden/>
              </w:rPr>
            </w:r>
            <w:r w:rsidRPr="00F90117">
              <w:rPr>
                <w:rFonts w:ascii="Times New Roman" w:hAnsi="Times New Roman" w:cs="Times New Roman"/>
                <w:noProof/>
                <w:webHidden/>
              </w:rPr>
              <w:fldChar w:fldCharType="separate"/>
            </w:r>
            <w:r w:rsidR="00871648">
              <w:rPr>
                <w:rFonts w:ascii="Times New Roman" w:hAnsi="Times New Roman" w:cs="Times New Roman"/>
                <w:noProof/>
                <w:webHidden/>
              </w:rPr>
              <w:t>13</w:t>
            </w:r>
            <w:r w:rsidRPr="00F90117">
              <w:rPr>
                <w:rFonts w:ascii="Times New Roman" w:hAnsi="Times New Roman" w:cs="Times New Roman"/>
                <w:noProof/>
                <w:webHidden/>
              </w:rPr>
              <w:fldChar w:fldCharType="end"/>
            </w:r>
          </w:hyperlink>
        </w:p>
        <w:p w:rsidR="00613944" w:rsidRPr="00F90117" w:rsidRDefault="00613944" w:rsidP="00613944">
          <w:pPr>
            <w:rPr>
              <w:rFonts w:ascii="Times New Roman" w:hAnsi="Times New Roman" w:cs="Times New Roman"/>
              <w:noProof/>
              <w:sz w:val="20"/>
              <w:szCs w:val="20"/>
            </w:rPr>
          </w:pPr>
        </w:p>
        <w:p w:rsidR="006C31EB" w:rsidRPr="00F90117" w:rsidRDefault="00A93FFF" w:rsidP="006C31EB">
          <w:pPr>
            <w:pStyle w:val="Spistreci3"/>
            <w:rPr>
              <w:rFonts w:ascii="Times New Roman" w:eastAsiaTheme="minorEastAsia" w:hAnsi="Times New Roman" w:cs="Times New Roman"/>
              <w:noProof/>
              <w:lang w:eastAsia="pl-PL"/>
            </w:rPr>
          </w:pPr>
          <w:hyperlink w:anchor="_Toc427734958" w:history="1">
            <w:r w:rsidR="006C31EB" w:rsidRPr="00F90117">
              <w:rPr>
                <w:rStyle w:val="Hipercze"/>
                <w:rFonts w:ascii="Times New Roman" w:hAnsi="Times New Roman" w:cs="Times New Roman"/>
                <w:noProof/>
              </w:rPr>
              <w:t>2.4.5</w:t>
            </w:r>
            <w:r w:rsidR="006C31EB" w:rsidRPr="00F90117">
              <w:rPr>
                <w:rFonts w:ascii="Times New Roman" w:eastAsiaTheme="minorEastAsia" w:hAnsi="Times New Roman" w:cs="Times New Roman"/>
                <w:noProof/>
                <w:lang w:eastAsia="pl-PL"/>
              </w:rPr>
              <w:tab/>
            </w:r>
            <w:r w:rsidR="006C31EB" w:rsidRPr="00F90117">
              <w:rPr>
                <w:rStyle w:val="Hipercze"/>
                <w:rFonts w:ascii="Times New Roman" w:hAnsi="Times New Roman" w:cs="Times New Roman"/>
                <w:noProof/>
              </w:rPr>
              <w:t>Krajowy plan działania w zakresie energii ze źródeł odnawialnych</w:t>
            </w:r>
            <w:r w:rsidR="006C31EB" w:rsidRPr="00F90117">
              <w:rPr>
                <w:rFonts w:ascii="Times New Roman" w:hAnsi="Times New Roman" w:cs="Times New Roman"/>
                <w:noProof/>
                <w:webHidden/>
              </w:rPr>
              <w:tab/>
            </w:r>
            <w:r w:rsidRPr="00F90117">
              <w:rPr>
                <w:rFonts w:ascii="Times New Roman" w:hAnsi="Times New Roman" w:cs="Times New Roman"/>
                <w:noProof/>
                <w:webHidden/>
              </w:rPr>
              <w:fldChar w:fldCharType="begin"/>
            </w:r>
            <w:r w:rsidR="006C31EB" w:rsidRPr="00F90117">
              <w:rPr>
                <w:rFonts w:ascii="Times New Roman" w:hAnsi="Times New Roman" w:cs="Times New Roman"/>
                <w:noProof/>
                <w:webHidden/>
              </w:rPr>
              <w:instrText xml:space="preserve"> PAGEREF _Toc427734958 \h </w:instrText>
            </w:r>
            <w:r w:rsidRPr="00F90117">
              <w:rPr>
                <w:rFonts w:ascii="Times New Roman" w:hAnsi="Times New Roman" w:cs="Times New Roman"/>
                <w:noProof/>
                <w:webHidden/>
              </w:rPr>
            </w:r>
            <w:r w:rsidRPr="00F90117">
              <w:rPr>
                <w:rFonts w:ascii="Times New Roman" w:hAnsi="Times New Roman" w:cs="Times New Roman"/>
                <w:noProof/>
                <w:webHidden/>
              </w:rPr>
              <w:fldChar w:fldCharType="separate"/>
            </w:r>
            <w:r w:rsidR="00871648">
              <w:rPr>
                <w:rFonts w:ascii="Times New Roman" w:hAnsi="Times New Roman" w:cs="Times New Roman"/>
                <w:noProof/>
                <w:webHidden/>
              </w:rPr>
              <w:t>14</w:t>
            </w:r>
            <w:r w:rsidRPr="00F90117">
              <w:rPr>
                <w:rFonts w:ascii="Times New Roman" w:hAnsi="Times New Roman" w:cs="Times New Roman"/>
                <w:noProof/>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59" w:history="1">
            <w:r w:rsidR="006C31EB" w:rsidRPr="00F90117">
              <w:rPr>
                <w:rStyle w:val="Hipercze"/>
                <w:rFonts w:ascii="Times New Roman" w:hAnsi="Times New Roman" w:cs="Times New Roman"/>
                <w:b w:val="0"/>
              </w:rPr>
              <w:t>2.5</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Metodyka planowania energetycznego</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_Toc427734959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14</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0" w:history="1">
            <w:r w:rsidR="006C31EB" w:rsidRPr="00F90117">
              <w:rPr>
                <w:rStyle w:val="Hipercze"/>
                <w:rFonts w:ascii="Times New Roman" w:hAnsi="Times New Roman" w:cs="Times New Roman"/>
                <w:b w:val="0"/>
              </w:rPr>
              <w:t>2.6</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Wymiar regionalny</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_Toc427734960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15</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1" w:history="1">
            <w:r w:rsidR="006C31EB" w:rsidRPr="00F90117">
              <w:rPr>
                <w:rStyle w:val="Hipercze"/>
                <w:rFonts w:ascii="Times New Roman" w:hAnsi="Times New Roman" w:cs="Times New Roman"/>
                <w:b w:val="0"/>
              </w:rPr>
              <w:t>2.7</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Wymiar lokalny</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_Toc427734961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33</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62" w:history="1">
            <w:r w:rsidR="006C31EB" w:rsidRPr="00F90117">
              <w:rPr>
                <w:rStyle w:val="Hipercze"/>
                <w:rFonts w:ascii="Times New Roman" w:hAnsi="Times New Roman" w:cs="Times New Roman"/>
                <w:b w:val="0"/>
                <w:noProof/>
                <w:sz w:val="20"/>
                <w:szCs w:val="20"/>
              </w:rPr>
              <w:t>3</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Charakterystyka Gminy Strawczyn</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_Toc427734962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38</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3" w:history="1">
            <w:r w:rsidR="006C31EB" w:rsidRPr="00F90117">
              <w:rPr>
                <w:rStyle w:val="Hipercze"/>
                <w:rFonts w:ascii="Times New Roman" w:hAnsi="Times New Roman" w:cs="Times New Roman"/>
                <w:b w:val="0"/>
              </w:rPr>
              <w:t>3.1</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Charakterystyka Gminy</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_Toc427734963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38</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4" w:history="1">
            <w:r w:rsidR="006C31EB" w:rsidRPr="00F90117">
              <w:rPr>
                <w:rStyle w:val="Hipercze"/>
                <w:rFonts w:ascii="Times New Roman" w:hAnsi="Times New Roman" w:cs="Times New Roman"/>
                <w:b w:val="0"/>
              </w:rPr>
              <w:t>3.2</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Obszary i obiekty podlegające ochronie</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_Toc427734964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40</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5" w:history="1">
            <w:r w:rsidR="006C31EB" w:rsidRPr="00F90117">
              <w:rPr>
                <w:rStyle w:val="Hipercze"/>
                <w:rFonts w:ascii="Times New Roman" w:hAnsi="Times New Roman" w:cs="Times New Roman"/>
                <w:b w:val="0"/>
              </w:rPr>
              <w:t>3.3</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Stan powietrza na terenie gminy Strawczyn</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_Toc427734965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45</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6" w:history="1">
            <w:r w:rsidR="006C31EB" w:rsidRPr="00F90117">
              <w:rPr>
                <w:rStyle w:val="Hipercze"/>
                <w:rFonts w:ascii="Times New Roman" w:hAnsi="Times New Roman" w:cs="Times New Roman"/>
                <w:b w:val="0"/>
              </w:rPr>
              <w:t>3.4</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Demografia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_Toc427734966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48</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7" w:history="1">
            <w:r w:rsidR="006C31EB" w:rsidRPr="00F90117">
              <w:rPr>
                <w:rStyle w:val="Hipercze"/>
                <w:rFonts w:ascii="Times New Roman" w:hAnsi="Times New Roman" w:cs="Times New Roman"/>
                <w:b w:val="0"/>
              </w:rPr>
              <w:t>3.5</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Struktura mieszkaniowa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_Toc427734967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49</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68" w:history="1">
            <w:r w:rsidR="006C31EB" w:rsidRPr="00F90117">
              <w:rPr>
                <w:rStyle w:val="Hipercze"/>
                <w:rFonts w:ascii="Times New Roman" w:hAnsi="Times New Roman" w:cs="Times New Roman"/>
                <w:b w:val="0"/>
              </w:rPr>
              <w:t>3.6</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Działalność gospodarcza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_Toc427734968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53</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69" w:history="1">
            <w:r w:rsidR="006C31EB" w:rsidRPr="00F90117">
              <w:rPr>
                <w:rStyle w:val="Hipercze"/>
                <w:rFonts w:ascii="Times New Roman" w:hAnsi="Times New Roman" w:cs="Times New Roman"/>
                <w:b w:val="0"/>
                <w:noProof/>
                <w:sz w:val="20"/>
                <w:szCs w:val="20"/>
              </w:rPr>
              <w:t>4</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Zaopatrzenie w ciepło</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_Toc427734969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55</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0" w:history="1">
            <w:r w:rsidR="006C31EB" w:rsidRPr="00F90117">
              <w:rPr>
                <w:rStyle w:val="Hipercze"/>
                <w:rFonts w:ascii="Times New Roman" w:hAnsi="Times New Roman" w:cs="Times New Roman"/>
                <w:b w:val="0"/>
              </w:rPr>
              <w:t>4.1</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Charakterystyka stanu istniejącego</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_Toc427734970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55</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1" w:history="1">
            <w:r w:rsidR="006C31EB" w:rsidRPr="00F90117">
              <w:rPr>
                <w:rStyle w:val="Hipercze"/>
                <w:rFonts w:ascii="Times New Roman" w:hAnsi="Times New Roman" w:cs="Times New Roman"/>
                <w:b w:val="0"/>
              </w:rPr>
              <w:t>4.2</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Prognoza zapotrzebowania na energię cieplną</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_Toc427734971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57</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2" w:history="1">
            <w:r w:rsidR="006C31EB" w:rsidRPr="00F90117">
              <w:rPr>
                <w:rStyle w:val="Hipercze"/>
                <w:rFonts w:ascii="Times New Roman" w:hAnsi="Times New Roman" w:cs="Times New Roman"/>
                <w:b w:val="0"/>
              </w:rPr>
              <w:t>4.3</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Przedsięwzięcia racjonalizujące wykorzystanie energii cieplnej</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_Toc427734972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57</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3" w:history="1">
            <w:r w:rsidR="006C31EB" w:rsidRPr="00F90117">
              <w:rPr>
                <w:rStyle w:val="Hipercze"/>
                <w:rFonts w:ascii="Times New Roman" w:hAnsi="Times New Roman" w:cs="Times New Roman"/>
                <w:b w:val="0"/>
              </w:rPr>
              <w:t>4.4</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Zamierzenia inwestycyjne</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_Toc427734973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59</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74" w:history="1">
            <w:r w:rsidR="006C31EB" w:rsidRPr="00F90117">
              <w:rPr>
                <w:rStyle w:val="Hipercze"/>
                <w:rFonts w:ascii="Times New Roman" w:hAnsi="Times New Roman" w:cs="Times New Roman"/>
                <w:b w:val="0"/>
                <w:noProof/>
                <w:sz w:val="20"/>
                <w:szCs w:val="20"/>
              </w:rPr>
              <w:t>5</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Zaopatrzenie w paliwa gazowe</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_Toc427734974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59</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5" w:history="1">
            <w:r w:rsidR="006C31EB" w:rsidRPr="00F90117">
              <w:rPr>
                <w:rStyle w:val="Hipercze"/>
                <w:rFonts w:ascii="Times New Roman" w:hAnsi="Times New Roman" w:cs="Times New Roman"/>
                <w:b w:val="0"/>
              </w:rPr>
              <w:t>5.1</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Charakterystyka stanu obecnego</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_Toc427734975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59</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76" w:history="1">
            <w:r w:rsidR="006C31EB" w:rsidRPr="00F90117">
              <w:rPr>
                <w:rStyle w:val="Hipercze"/>
                <w:rFonts w:ascii="Times New Roman" w:hAnsi="Times New Roman" w:cs="Times New Roman"/>
                <w:b w:val="0"/>
                <w:noProof/>
                <w:sz w:val="20"/>
                <w:szCs w:val="20"/>
              </w:rPr>
              <w:t>6</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System elektroenergetyczny</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_Toc427734976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63</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7" w:history="1">
            <w:r w:rsidR="006C31EB" w:rsidRPr="00F90117">
              <w:rPr>
                <w:rStyle w:val="Hipercze"/>
                <w:rFonts w:ascii="Times New Roman" w:hAnsi="Times New Roman" w:cs="Times New Roman"/>
                <w:b w:val="0"/>
              </w:rPr>
              <w:t>6.1</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Charakterystyka stanu istniejącego</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_Toc427734977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63</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8" w:history="1">
            <w:r w:rsidR="006C31EB" w:rsidRPr="00F90117">
              <w:rPr>
                <w:rStyle w:val="Hipercze"/>
                <w:rFonts w:ascii="Times New Roman" w:hAnsi="Times New Roman" w:cs="Times New Roman"/>
                <w:b w:val="0"/>
              </w:rPr>
              <w:t>6.2</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Prognoza zapotrzebowania na energię elektryczną</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_Toc427734978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64</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79" w:history="1">
            <w:r w:rsidR="006C31EB" w:rsidRPr="00F90117">
              <w:rPr>
                <w:rStyle w:val="Hipercze"/>
                <w:rFonts w:ascii="Times New Roman" w:hAnsi="Times New Roman" w:cs="Times New Roman"/>
                <w:b w:val="0"/>
              </w:rPr>
              <w:t>6.3</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Przedsięwzięcia racjonalizujące wykorzystanie energii elektrycznej</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_Toc427734979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66</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80" w:history="1">
            <w:r w:rsidR="006C31EB" w:rsidRPr="00F90117">
              <w:rPr>
                <w:rStyle w:val="Hipercze"/>
                <w:rFonts w:ascii="Times New Roman" w:hAnsi="Times New Roman" w:cs="Times New Roman"/>
                <w:b w:val="0"/>
              </w:rPr>
              <w:t>6.4</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Zamierzenia inwestycyjne</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_Toc427734980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67</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81" w:history="1">
            <w:r w:rsidR="006C31EB" w:rsidRPr="00F90117">
              <w:rPr>
                <w:rStyle w:val="Hipercze"/>
                <w:rFonts w:ascii="Times New Roman" w:hAnsi="Times New Roman" w:cs="Times New Roman"/>
                <w:b w:val="0"/>
                <w:noProof/>
                <w:sz w:val="20"/>
                <w:szCs w:val="20"/>
              </w:rPr>
              <w:t>7</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Oświetlenie uliczne</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_Toc427734981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68</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82" w:history="1">
            <w:r w:rsidR="006C31EB" w:rsidRPr="00F90117">
              <w:rPr>
                <w:rStyle w:val="Hipercze"/>
                <w:rFonts w:ascii="Times New Roman" w:hAnsi="Times New Roman" w:cs="Times New Roman"/>
                <w:b w:val="0"/>
                <w:noProof/>
                <w:sz w:val="20"/>
                <w:szCs w:val="20"/>
              </w:rPr>
              <w:t>8</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Aktualny i prognozowany poziom cen nośników paliw  i energii</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_Toc427734982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69</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83" w:history="1">
            <w:r w:rsidR="006C31EB" w:rsidRPr="00F90117">
              <w:rPr>
                <w:rStyle w:val="Hipercze"/>
                <w:rFonts w:ascii="Times New Roman" w:hAnsi="Times New Roman" w:cs="Times New Roman"/>
                <w:b w:val="0"/>
              </w:rPr>
              <w:t>8.1Taryfa dla energii elektrycznej</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_Toc427734983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72</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84" w:history="1">
            <w:r w:rsidR="006C31EB" w:rsidRPr="00F90117">
              <w:rPr>
                <w:rStyle w:val="Hipercze"/>
                <w:rFonts w:ascii="Times New Roman" w:hAnsi="Times New Roman" w:cs="Times New Roman"/>
                <w:b w:val="0"/>
                <w:noProof/>
                <w:sz w:val="20"/>
                <w:szCs w:val="20"/>
              </w:rPr>
              <w:t>9</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Obciążenie środowiska naturalnego</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_Toc427734984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73</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85" w:history="1">
            <w:r w:rsidR="006C31EB" w:rsidRPr="00F90117">
              <w:rPr>
                <w:rStyle w:val="Hipercze"/>
                <w:rFonts w:ascii="Times New Roman" w:hAnsi="Times New Roman" w:cs="Times New Roman"/>
                <w:b w:val="0"/>
                <w:noProof/>
                <w:sz w:val="20"/>
                <w:szCs w:val="20"/>
              </w:rPr>
              <w:t>10</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Propozycje w zakresie rozwoju i modernizacji poszczególnych  systemów zaopatrzenia w ciepło, energię elektryczną i paliwa gazowe wraz z aspektem ekonomicznym do roku 2025</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_Toc427734985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78</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86" w:history="1">
            <w:r w:rsidR="006C31EB" w:rsidRPr="00F90117">
              <w:rPr>
                <w:rStyle w:val="Hipercze"/>
                <w:rFonts w:ascii="Times New Roman" w:hAnsi="Times New Roman" w:cs="Times New Roman"/>
                <w:b w:val="0"/>
              </w:rPr>
              <w:t>10.1Analiza bezpieczeństwa energetycznego miasta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_Toc427734986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78</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87" w:history="1">
            <w:r w:rsidR="006C31EB" w:rsidRPr="00F90117">
              <w:rPr>
                <w:rStyle w:val="Hipercze"/>
                <w:rFonts w:ascii="Times New Roman" w:hAnsi="Times New Roman" w:cs="Times New Roman"/>
                <w:b w:val="0"/>
              </w:rPr>
              <w:t>10.2</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Zapewnienie zgodności planów energetycznych z założeniami do planu energetycznego Gminy</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_Toc427734987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78</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88" w:history="1">
            <w:r w:rsidR="006C31EB" w:rsidRPr="00F90117">
              <w:rPr>
                <w:rStyle w:val="Hipercze"/>
                <w:rFonts w:ascii="Times New Roman" w:hAnsi="Times New Roman" w:cs="Times New Roman"/>
                <w:b w:val="0"/>
              </w:rPr>
              <w:t>10.3</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Współpraca z sąsiednimi gminami w zakresie gospodarki energetycznej</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_Toc427734988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79</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b w:val="0"/>
              <w:noProof/>
              <w:sz w:val="20"/>
              <w:szCs w:val="20"/>
              <w:lang w:eastAsia="pl-PL"/>
            </w:rPr>
          </w:pPr>
          <w:hyperlink w:anchor="_Toc427734989" w:history="1">
            <w:r w:rsidR="006C31EB" w:rsidRPr="00F90117">
              <w:rPr>
                <w:rStyle w:val="Hipercze"/>
                <w:rFonts w:ascii="Times New Roman" w:hAnsi="Times New Roman" w:cs="Times New Roman"/>
                <w:b w:val="0"/>
                <w:noProof/>
                <w:sz w:val="20"/>
                <w:szCs w:val="20"/>
              </w:rPr>
              <w:t>11</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Możliwości wykorzystania lokalnych nadwyżek energii</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_Toc427734989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80</w:t>
            </w:r>
            <w:r w:rsidRPr="00F90117">
              <w:rPr>
                <w:rFonts w:ascii="Times New Roman" w:hAnsi="Times New Roman" w:cs="Times New Roman"/>
                <w:b w:val="0"/>
                <w:noProof/>
                <w:webHidden/>
                <w:sz w:val="20"/>
                <w:szCs w:val="20"/>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90" w:history="1">
            <w:r w:rsidR="006C31EB" w:rsidRPr="00F90117">
              <w:rPr>
                <w:rStyle w:val="Hipercze"/>
                <w:rFonts w:ascii="Times New Roman" w:hAnsi="Times New Roman" w:cs="Times New Roman"/>
                <w:b w:val="0"/>
              </w:rPr>
              <w:t>11.1</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Energetyka wodna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_Toc427734990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81</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91" w:history="1">
            <w:r w:rsidR="006C31EB" w:rsidRPr="00F90117">
              <w:rPr>
                <w:rStyle w:val="Hipercze"/>
                <w:rFonts w:ascii="Times New Roman" w:hAnsi="Times New Roman" w:cs="Times New Roman"/>
                <w:b w:val="0"/>
              </w:rPr>
              <w:t>11.2</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Energetyka słoneczna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_Toc427734991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82</w:t>
            </w:r>
            <w:r w:rsidRPr="00F90117">
              <w:rPr>
                <w:rFonts w:ascii="Times New Roman" w:hAnsi="Times New Roman" w:cs="Times New Roman"/>
                <w:b w:val="0"/>
                <w:webHidden/>
              </w:rPr>
              <w:fldChar w:fldCharType="end"/>
            </w:r>
          </w:hyperlink>
        </w:p>
        <w:p w:rsidR="00613944" w:rsidRPr="00F90117" w:rsidRDefault="00A93FFF" w:rsidP="00613944">
          <w:pPr>
            <w:pStyle w:val="Spistreci2"/>
            <w:rPr>
              <w:rStyle w:val="Hipercze"/>
              <w:rFonts w:ascii="Times New Roman" w:hAnsi="Times New Roman" w:cs="Times New Roman"/>
              <w:b w:val="0"/>
            </w:rPr>
          </w:pPr>
          <w:hyperlink w:anchor="_Toc427734992" w:history="1">
            <w:r w:rsidR="006C31EB" w:rsidRPr="00F90117">
              <w:rPr>
                <w:rStyle w:val="Hipercze"/>
                <w:rFonts w:ascii="Times New Roman" w:hAnsi="Times New Roman" w:cs="Times New Roman"/>
                <w:b w:val="0"/>
              </w:rPr>
              <w:t>11.3</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Energetyka geotermalna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_Toc427734992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84</w:t>
            </w:r>
            <w:r w:rsidRPr="00F90117">
              <w:rPr>
                <w:rFonts w:ascii="Times New Roman" w:hAnsi="Times New Roman" w:cs="Times New Roman"/>
                <w:b w:val="0"/>
                <w:webHidden/>
              </w:rPr>
              <w:fldChar w:fldCharType="end"/>
            </w:r>
          </w:hyperlink>
        </w:p>
        <w:p w:rsidR="00613944" w:rsidRPr="00F90117" w:rsidRDefault="00613944" w:rsidP="00613944">
          <w:pPr>
            <w:rPr>
              <w:rFonts w:ascii="Times New Roman" w:hAnsi="Times New Roman" w:cs="Times New Roman"/>
              <w:noProof/>
              <w:sz w:val="20"/>
              <w:szCs w:val="20"/>
            </w:rPr>
          </w:pPr>
        </w:p>
        <w:p w:rsidR="006C31EB" w:rsidRPr="00F90117" w:rsidRDefault="00A93FFF" w:rsidP="006C31EB">
          <w:pPr>
            <w:pStyle w:val="Spistreci3"/>
            <w:rPr>
              <w:rFonts w:ascii="Times New Roman" w:eastAsiaTheme="minorEastAsia" w:hAnsi="Times New Roman" w:cs="Times New Roman"/>
              <w:noProof/>
              <w:lang w:eastAsia="pl-PL"/>
            </w:rPr>
          </w:pPr>
          <w:hyperlink w:anchor="_Toc427734993" w:history="1">
            <w:r w:rsidR="006C31EB" w:rsidRPr="00F90117">
              <w:rPr>
                <w:rStyle w:val="Hipercze"/>
                <w:rFonts w:ascii="Times New Roman" w:hAnsi="Times New Roman" w:cs="Times New Roman"/>
                <w:noProof/>
              </w:rPr>
              <w:t>11.3.1</w:t>
            </w:r>
            <w:r w:rsidR="006C31EB" w:rsidRPr="00F90117">
              <w:rPr>
                <w:rFonts w:ascii="Times New Roman" w:eastAsiaTheme="minorEastAsia" w:hAnsi="Times New Roman" w:cs="Times New Roman"/>
                <w:noProof/>
                <w:lang w:eastAsia="pl-PL"/>
              </w:rPr>
              <w:tab/>
            </w:r>
            <w:r w:rsidR="006C31EB" w:rsidRPr="00F90117">
              <w:rPr>
                <w:rStyle w:val="Hipercze"/>
                <w:rFonts w:ascii="Times New Roman" w:hAnsi="Times New Roman" w:cs="Times New Roman"/>
                <w:noProof/>
              </w:rPr>
              <w:t>Pompy ciepła</w:t>
            </w:r>
            <w:r w:rsidR="006C31EB" w:rsidRPr="00F90117">
              <w:rPr>
                <w:rFonts w:ascii="Times New Roman" w:hAnsi="Times New Roman" w:cs="Times New Roman"/>
                <w:noProof/>
                <w:webHidden/>
              </w:rPr>
              <w:tab/>
            </w:r>
            <w:r w:rsidRPr="00F90117">
              <w:rPr>
                <w:rFonts w:ascii="Times New Roman" w:hAnsi="Times New Roman" w:cs="Times New Roman"/>
                <w:noProof/>
                <w:webHidden/>
              </w:rPr>
              <w:fldChar w:fldCharType="begin"/>
            </w:r>
            <w:r w:rsidR="006C31EB" w:rsidRPr="00F90117">
              <w:rPr>
                <w:rFonts w:ascii="Times New Roman" w:hAnsi="Times New Roman" w:cs="Times New Roman"/>
                <w:noProof/>
                <w:webHidden/>
              </w:rPr>
              <w:instrText xml:space="preserve"> PAGEREF _Toc427734993 \h </w:instrText>
            </w:r>
            <w:r w:rsidRPr="00F90117">
              <w:rPr>
                <w:rFonts w:ascii="Times New Roman" w:hAnsi="Times New Roman" w:cs="Times New Roman"/>
                <w:noProof/>
                <w:webHidden/>
              </w:rPr>
            </w:r>
            <w:r w:rsidRPr="00F90117">
              <w:rPr>
                <w:rFonts w:ascii="Times New Roman" w:hAnsi="Times New Roman" w:cs="Times New Roman"/>
                <w:noProof/>
                <w:webHidden/>
              </w:rPr>
              <w:fldChar w:fldCharType="separate"/>
            </w:r>
            <w:r w:rsidR="00871648">
              <w:rPr>
                <w:rFonts w:ascii="Times New Roman" w:hAnsi="Times New Roman" w:cs="Times New Roman"/>
                <w:noProof/>
                <w:webHidden/>
              </w:rPr>
              <w:t>85</w:t>
            </w:r>
            <w:r w:rsidRPr="00F90117">
              <w:rPr>
                <w:rFonts w:ascii="Times New Roman" w:hAnsi="Times New Roman" w:cs="Times New Roman"/>
                <w:noProof/>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94" w:history="1">
            <w:r w:rsidR="006C31EB" w:rsidRPr="00F90117">
              <w:rPr>
                <w:rStyle w:val="Hipercze"/>
                <w:rFonts w:ascii="Times New Roman" w:hAnsi="Times New Roman" w:cs="Times New Roman"/>
                <w:b w:val="0"/>
              </w:rPr>
              <w:t>11.4</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Biomasa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_Toc427734994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87</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95" w:history="1">
            <w:r w:rsidR="006C31EB" w:rsidRPr="00F90117">
              <w:rPr>
                <w:rStyle w:val="Hipercze"/>
                <w:rFonts w:ascii="Times New Roman" w:hAnsi="Times New Roman" w:cs="Times New Roman"/>
                <w:b w:val="0"/>
              </w:rPr>
              <w:t>11.5</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Energetyka wiatrowa</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_Toc427734995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89</w:t>
            </w:r>
            <w:r w:rsidRPr="00F90117">
              <w:rPr>
                <w:rFonts w:ascii="Times New Roman" w:hAnsi="Times New Roman" w:cs="Times New Roman"/>
                <w:b w:val="0"/>
                <w:webHidden/>
              </w:rPr>
              <w:fldChar w:fldCharType="end"/>
            </w:r>
          </w:hyperlink>
        </w:p>
        <w:p w:rsidR="006C31EB" w:rsidRPr="00F90117" w:rsidRDefault="00A93FFF" w:rsidP="006C31EB">
          <w:pPr>
            <w:pStyle w:val="Spistreci2"/>
            <w:rPr>
              <w:rFonts w:ascii="Times New Roman" w:eastAsiaTheme="minorEastAsia" w:hAnsi="Times New Roman" w:cs="Times New Roman"/>
              <w:b w:val="0"/>
              <w:lang w:eastAsia="pl-PL"/>
            </w:rPr>
          </w:pPr>
          <w:hyperlink w:anchor="_Toc427734996" w:history="1">
            <w:r w:rsidR="006C31EB" w:rsidRPr="00F90117">
              <w:rPr>
                <w:rStyle w:val="Hipercze"/>
                <w:rFonts w:ascii="Times New Roman" w:hAnsi="Times New Roman" w:cs="Times New Roman"/>
                <w:b w:val="0"/>
              </w:rPr>
              <w:t>11.6</w:t>
            </w:r>
            <w:r w:rsidR="006C31EB" w:rsidRPr="00F90117">
              <w:rPr>
                <w:rFonts w:ascii="Times New Roman" w:eastAsiaTheme="minorEastAsia" w:hAnsi="Times New Roman" w:cs="Times New Roman"/>
                <w:b w:val="0"/>
                <w:lang w:eastAsia="pl-PL"/>
              </w:rPr>
              <w:tab/>
            </w:r>
            <w:r w:rsidR="006C31EB" w:rsidRPr="00F90117">
              <w:rPr>
                <w:rStyle w:val="Hipercze"/>
                <w:rFonts w:ascii="Times New Roman" w:hAnsi="Times New Roman" w:cs="Times New Roman"/>
                <w:b w:val="0"/>
              </w:rPr>
              <w:t>Podsumowanie</w:t>
            </w:r>
            <w:r w:rsidR="006C31EB" w:rsidRPr="00F90117">
              <w:rPr>
                <w:rFonts w:ascii="Times New Roman" w:hAnsi="Times New Roman" w:cs="Times New Roman"/>
                <w:b w:val="0"/>
                <w:webHidden/>
              </w:rPr>
              <w:tab/>
            </w:r>
            <w:r w:rsidRPr="00F90117">
              <w:rPr>
                <w:rFonts w:ascii="Times New Roman" w:hAnsi="Times New Roman" w:cs="Times New Roman"/>
                <w:b w:val="0"/>
                <w:webHidden/>
              </w:rPr>
              <w:fldChar w:fldCharType="begin"/>
            </w:r>
            <w:r w:rsidR="006C31EB" w:rsidRPr="00F90117">
              <w:rPr>
                <w:rFonts w:ascii="Times New Roman" w:hAnsi="Times New Roman" w:cs="Times New Roman"/>
                <w:b w:val="0"/>
                <w:webHidden/>
              </w:rPr>
              <w:instrText xml:space="preserve"> PAGEREF _Toc427734996 \h </w:instrText>
            </w:r>
            <w:r w:rsidRPr="00F90117">
              <w:rPr>
                <w:rFonts w:ascii="Times New Roman" w:hAnsi="Times New Roman" w:cs="Times New Roman"/>
                <w:b w:val="0"/>
                <w:webHidden/>
              </w:rPr>
            </w:r>
            <w:r w:rsidRPr="00F90117">
              <w:rPr>
                <w:rFonts w:ascii="Times New Roman" w:hAnsi="Times New Roman" w:cs="Times New Roman"/>
                <w:b w:val="0"/>
                <w:webHidden/>
              </w:rPr>
              <w:fldChar w:fldCharType="separate"/>
            </w:r>
            <w:r w:rsidR="00871648">
              <w:rPr>
                <w:rFonts w:ascii="Times New Roman" w:hAnsi="Times New Roman" w:cs="Times New Roman"/>
                <w:b w:val="0"/>
                <w:webHidden/>
              </w:rPr>
              <w:t>91</w:t>
            </w:r>
            <w:r w:rsidRPr="00F90117">
              <w:rPr>
                <w:rFonts w:ascii="Times New Roman" w:hAnsi="Times New Roman" w:cs="Times New Roman"/>
                <w:b w:val="0"/>
                <w:webHidden/>
              </w:rPr>
              <w:fldChar w:fldCharType="end"/>
            </w:r>
          </w:hyperlink>
        </w:p>
        <w:p w:rsidR="006C31EB" w:rsidRPr="00F90117" w:rsidRDefault="00A93FFF" w:rsidP="006C31EB">
          <w:pPr>
            <w:pStyle w:val="Spistreci1"/>
            <w:rPr>
              <w:rFonts w:ascii="Times New Roman" w:eastAsiaTheme="minorEastAsia" w:hAnsi="Times New Roman" w:cs="Times New Roman"/>
              <w:noProof/>
              <w:sz w:val="20"/>
              <w:szCs w:val="20"/>
              <w:lang w:eastAsia="pl-PL"/>
            </w:rPr>
          </w:pPr>
          <w:hyperlink w:anchor="_Toc427734997" w:history="1">
            <w:r w:rsidR="006C31EB" w:rsidRPr="00F90117">
              <w:rPr>
                <w:rStyle w:val="Hipercze"/>
                <w:rFonts w:ascii="Times New Roman" w:hAnsi="Times New Roman" w:cs="Times New Roman"/>
                <w:b w:val="0"/>
                <w:noProof/>
                <w:sz w:val="20"/>
                <w:szCs w:val="20"/>
              </w:rPr>
              <w:t>12</w:t>
            </w:r>
            <w:r w:rsidR="006C31EB" w:rsidRPr="00F90117">
              <w:rPr>
                <w:rFonts w:ascii="Times New Roman" w:eastAsiaTheme="minorEastAsia" w:hAnsi="Times New Roman" w:cs="Times New Roman"/>
                <w:b w:val="0"/>
                <w:noProof/>
                <w:sz w:val="20"/>
                <w:szCs w:val="20"/>
                <w:lang w:eastAsia="pl-PL"/>
              </w:rPr>
              <w:tab/>
            </w:r>
            <w:r w:rsidR="006C31EB" w:rsidRPr="00F90117">
              <w:rPr>
                <w:rStyle w:val="Hipercze"/>
                <w:rFonts w:ascii="Times New Roman" w:hAnsi="Times New Roman" w:cs="Times New Roman"/>
                <w:b w:val="0"/>
                <w:noProof/>
                <w:sz w:val="20"/>
                <w:szCs w:val="20"/>
              </w:rPr>
              <w:t>Propozycje i wnioski dla programu działań w zakresie energetycznego rozwoju gminy Strawczyn</w:t>
            </w:r>
            <w:r w:rsidR="006C31EB" w:rsidRPr="00F90117">
              <w:rPr>
                <w:rFonts w:ascii="Times New Roman" w:hAnsi="Times New Roman" w:cs="Times New Roman"/>
                <w:b w:val="0"/>
                <w:noProof/>
                <w:webHidden/>
                <w:sz w:val="20"/>
                <w:szCs w:val="20"/>
              </w:rPr>
              <w:tab/>
            </w:r>
            <w:r w:rsidRPr="00F90117">
              <w:rPr>
                <w:rFonts w:ascii="Times New Roman" w:hAnsi="Times New Roman" w:cs="Times New Roman"/>
                <w:b w:val="0"/>
                <w:noProof/>
                <w:webHidden/>
                <w:sz w:val="20"/>
                <w:szCs w:val="20"/>
              </w:rPr>
              <w:fldChar w:fldCharType="begin"/>
            </w:r>
            <w:r w:rsidR="006C31EB" w:rsidRPr="00F90117">
              <w:rPr>
                <w:rFonts w:ascii="Times New Roman" w:hAnsi="Times New Roman" w:cs="Times New Roman"/>
                <w:b w:val="0"/>
                <w:noProof/>
                <w:webHidden/>
                <w:sz w:val="20"/>
                <w:szCs w:val="20"/>
              </w:rPr>
              <w:instrText xml:space="preserve"> PAGEREF _Toc427734997 \h </w:instrText>
            </w:r>
            <w:r w:rsidRPr="00F90117">
              <w:rPr>
                <w:rFonts w:ascii="Times New Roman" w:hAnsi="Times New Roman" w:cs="Times New Roman"/>
                <w:b w:val="0"/>
                <w:noProof/>
                <w:webHidden/>
                <w:sz w:val="20"/>
                <w:szCs w:val="20"/>
              </w:rPr>
            </w:r>
            <w:r w:rsidRPr="00F90117">
              <w:rPr>
                <w:rFonts w:ascii="Times New Roman" w:hAnsi="Times New Roman" w:cs="Times New Roman"/>
                <w:b w:val="0"/>
                <w:noProof/>
                <w:webHidden/>
                <w:sz w:val="20"/>
                <w:szCs w:val="20"/>
              </w:rPr>
              <w:fldChar w:fldCharType="separate"/>
            </w:r>
            <w:r w:rsidR="00871648">
              <w:rPr>
                <w:rFonts w:ascii="Times New Roman" w:hAnsi="Times New Roman" w:cs="Times New Roman"/>
                <w:b w:val="0"/>
                <w:noProof/>
                <w:webHidden/>
                <w:sz w:val="20"/>
                <w:szCs w:val="20"/>
              </w:rPr>
              <w:t>92</w:t>
            </w:r>
            <w:r w:rsidRPr="00F90117">
              <w:rPr>
                <w:rFonts w:ascii="Times New Roman" w:hAnsi="Times New Roman" w:cs="Times New Roman"/>
                <w:b w:val="0"/>
                <w:noProof/>
                <w:webHidden/>
                <w:sz w:val="20"/>
                <w:szCs w:val="20"/>
              </w:rPr>
              <w:fldChar w:fldCharType="end"/>
            </w:r>
          </w:hyperlink>
        </w:p>
        <w:p w:rsidR="006C31EB" w:rsidRDefault="00A93FFF">
          <w:r w:rsidRPr="00F90117">
            <w:rPr>
              <w:rFonts w:ascii="Times New Roman" w:hAnsi="Times New Roman" w:cs="Times New Roman"/>
              <w:sz w:val="20"/>
              <w:szCs w:val="20"/>
            </w:rPr>
            <w:fldChar w:fldCharType="end"/>
          </w:r>
        </w:p>
      </w:sdtContent>
    </w:sdt>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6C31EB" w:rsidRDefault="006C31EB"/>
    <w:p w:rsidR="00575A56" w:rsidRDefault="00575A56"/>
    <w:p w:rsidR="00575A56" w:rsidRDefault="0052429C" w:rsidP="00515420">
      <w:pPr>
        <w:pStyle w:val="Nagwek1"/>
        <w:numPr>
          <w:ilvl w:val="0"/>
          <w:numId w:val="0"/>
        </w:numPr>
        <w:spacing w:line="360" w:lineRule="auto"/>
        <w:ind w:left="432" w:hanging="432"/>
      </w:pPr>
      <w:bookmarkStart w:id="0" w:name="_Toc427675546"/>
      <w:bookmarkStart w:id="1" w:name="_Toc427734945"/>
      <w:r>
        <w:lastRenderedPageBreak/>
        <w:t>SPIS MAP</w:t>
      </w:r>
      <w:bookmarkEnd w:id="0"/>
      <w:bookmarkEnd w:id="1"/>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r w:rsidRPr="00A93FFF">
        <w:fldChar w:fldCharType="begin"/>
      </w:r>
      <w:r w:rsidR="0052429C">
        <w:instrText xml:space="preserve"> TOC \h \z \c "Mapa" </w:instrText>
      </w:r>
      <w:r w:rsidRPr="00A93FFF">
        <w:fldChar w:fldCharType="separate"/>
      </w:r>
      <w:hyperlink w:anchor="_Toc427675256" w:history="1">
        <w:r w:rsidR="0052429C" w:rsidRPr="00AE1F43">
          <w:rPr>
            <w:rStyle w:val="Hipercze"/>
            <w:noProof/>
          </w:rPr>
          <w:t>Mapa 1. Granice administracyjne gminy Strawczyn z podziałem na sołectwa</w:t>
        </w:r>
        <w:r w:rsidR="0052429C">
          <w:rPr>
            <w:noProof/>
            <w:webHidden/>
          </w:rPr>
          <w:tab/>
        </w:r>
        <w:r>
          <w:rPr>
            <w:noProof/>
            <w:webHidden/>
          </w:rPr>
          <w:fldChar w:fldCharType="begin"/>
        </w:r>
        <w:r w:rsidR="0052429C">
          <w:rPr>
            <w:noProof/>
            <w:webHidden/>
          </w:rPr>
          <w:instrText xml:space="preserve"> PAGEREF _Toc427675256 \h </w:instrText>
        </w:r>
        <w:r>
          <w:rPr>
            <w:noProof/>
            <w:webHidden/>
          </w:rPr>
        </w:r>
        <w:r>
          <w:rPr>
            <w:noProof/>
            <w:webHidden/>
          </w:rPr>
          <w:fldChar w:fldCharType="separate"/>
        </w:r>
        <w:r w:rsidR="00871648">
          <w:rPr>
            <w:noProof/>
            <w:webHidden/>
          </w:rPr>
          <w:t>38</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57" w:history="1">
        <w:r w:rsidR="0052429C" w:rsidRPr="00AE1F43">
          <w:rPr>
            <w:rStyle w:val="Hipercze"/>
            <w:noProof/>
          </w:rPr>
          <w:t>Mapa 2. Położenie gminy na tle powiatu kieleckiego</w:t>
        </w:r>
        <w:r w:rsidR="0052429C">
          <w:rPr>
            <w:noProof/>
            <w:webHidden/>
          </w:rPr>
          <w:tab/>
        </w:r>
        <w:r>
          <w:rPr>
            <w:noProof/>
            <w:webHidden/>
          </w:rPr>
          <w:fldChar w:fldCharType="begin"/>
        </w:r>
        <w:r w:rsidR="0052429C">
          <w:rPr>
            <w:noProof/>
            <w:webHidden/>
          </w:rPr>
          <w:instrText xml:space="preserve"> PAGEREF _Toc427675257 \h </w:instrText>
        </w:r>
        <w:r>
          <w:rPr>
            <w:noProof/>
            <w:webHidden/>
          </w:rPr>
        </w:r>
        <w:r>
          <w:rPr>
            <w:noProof/>
            <w:webHidden/>
          </w:rPr>
          <w:fldChar w:fldCharType="separate"/>
        </w:r>
        <w:r w:rsidR="00871648">
          <w:rPr>
            <w:noProof/>
            <w:webHidden/>
          </w:rPr>
          <w:t>40</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58" w:history="1">
        <w:r w:rsidR="0052429C" w:rsidRPr="00AE1F43">
          <w:rPr>
            <w:rStyle w:val="Hipercze"/>
            <w:noProof/>
          </w:rPr>
          <w:t>Mapa 3. Położenie SOO "Dolina Bobrzy" na terenie gminy Strawczyn.</w:t>
        </w:r>
        <w:r w:rsidR="0052429C">
          <w:rPr>
            <w:noProof/>
            <w:webHidden/>
          </w:rPr>
          <w:tab/>
        </w:r>
        <w:r>
          <w:rPr>
            <w:noProof/>
            <w:webHidden/>
          </w:rPr>
          <w:fldChar w:fldCharType="begin"/>
        </w:r>
        <w:r w:rsidR="0052429C">
          <w:rPr>
            <w:noProof/>
            <w:webHidden/>
          </w:rPr>
          <w:instrText xml:space="preserve"> PAGEREF _Toc427675258 \h </w:instrText>
        </w:r>
        <w:r>
          <w:rPr>
            <w:noProof/>
            <w:webHidden/>
          </w:rPr>
        </w:r>
        <w:r>
          <w:rPr>
            <w:noProof/>
            <w:webHidden/>
          </w:rPr>
          <w:fldChar w:fldCharType="separate"/>
        </w:r>
        <w:r w:rsidR="00871648">
          <w:rPr>
            <w:noProof/>
            <w:webHidden/>
          </w:rPr>
          <w:t>44</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59" w:history="1">
        <w:r w:rsidR="0052429C" w:rsidRPr="00AE1F43">
          <w:rPr>
            <w:rStyle w:val="Hipercze"/>
            <w:noProof/>
          </w:rPr>
          <w:t>Mapa 4. Rozkład średniorocznego stężenia pyłu PM 10 w roku 2010.</w:t>
        </w:r>
        <w:r w:rsidR="0052429C">
          <w:rPr>
            <w:noProof/>
            <w:webHidden/>
          </w:rPr>
          <w:tab/>
        </w:r>
        <w:r>
          <w:rPr>
            <w:noProof/>
            <w:webHidden/>
          </w:rPr>
          <w:fldChar w:fldCharType="begin"/>
        </w:r>
        <w:r w:rsidR="0052429C">
          <w:rPr>
            <w:noProof/>
            <w:webHidden/>
          </w:rPr>
          <w:instrText xml:space="preserve"> PAGEREF _Toc427675259 \h </w:instrText>
        </w:r>
        <w:r>
          <w:rPr>
            <w:noProof/>
            <w:webHidden/>
          </w:rPr>
        </w:r>
        <w:r>
          <w:rPr>
            <w:noProof/>
            <w:webHidden/>
          </w:rPr>
          <w:fldChar w:fldCharType="separate"/>
        </w:r>
        <w:r w:rsidR="00871648">
          <w:rPr>
            <w:noProof/>
            <w:webHidden/>
          </w:rPr>
          <w:t>47</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60" w:history="1">
        <w:r w:rsidR="0052429C" w:rsidRPr="00AE1F43">
          <w:rPr>
            <w:rStyle w:val="Hipercze"/>
            <w:noProof/>
          </w:rPr>
          <w:t>Mapa 5. Rozkład stężeń sredniorocznych benzo(a)pirenu w roku 2010.</w:t>
        </w:r>
        <w:r w:rsidR="0052429C">
          <w:rPr>
            <w:noProof/>
            <w:webHidden/>
          </w:rPr>
          <w:tab/>
        </w:r>
        <w:r>
          <w:rPr>
            <w:noProof/>
            <w:webHidden/>
          </w:rPr>
          <w:fldChar w:fldCharType="begin"/>
        </w:r>
        <w:r w:rsidR="0052429C">
          <w:rPr>
            <w:noProof/>
            <w:webHidden/>
          </w:rPr>
          <w:instrText xml:space="preserve"> PAGEREF _Toc427675260 \h </w:instrText>
        </w:r>
        <w:r>
          <w:rPr>
            <w:noProof/>
            <w:webHidden/>
          </w:rPr>
        </w:r>
        <w:r>
          <w:rPr>
            <w:noProof/>
            <w:webHidden/>
          </w:rPr>
          <w:fldChar w:fldCharType="separate"/>
        </w:r>
        <w:r w:rsidR="00871648">
          <w:rPr>
            <w:noProof/>
            <w:webHidden/>
          </w:rPr>
          <w:t>47</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r:id="rId10" w:anchor="_Toc427675261" w:history="1">
        <w:r w:rsidR="008742B3">
          <w:rPr>
            <w:rStyle w:val="Hipercze"/>
            <w:noProof/>
          </w:rPr>
          <w:t>Mapa 6. M</w:t>
        </w:r>
        <w:r w:rsidR="0052429C" w:rsidRPr="00AE1F43">
          <w:rPr>
            <w:rStyle w:val="Hipercze"/>
            <w:noProof/>
          </w:rPr>
          <w:t>apa Polskiego Systemu Gazownictwa</w:t>
        </w:r>
        <w:r w:rsidR="0052429C">
          <w:rPr>
            <w:noProof/>
            <w:webHidden/>
          </w:rPr>
          <w:tab/>
        </w:r>
        <w:r>
          <w:rPr>
            <w:noProof/>
            <w:webHidden/>
          </w:rPr>
          <w:fldChar w:fldCharType="begin"/>
        </w:r>
        <w:r w:rsidR="0052429C">
          <w:rPr>
            <w:noProof/>
            <w:webHidden/>
          </w:rPr>
          <w:instrText xml:space="preserve"> PAGEREF _Toc427675261 \h </w:instrText>
        </w:r>
        <w:r>
          <w:rPr>
            <w:noProof/>
            <w:webHidden/>
          </w:rPr>
        </w:r>
        <w:r>
          <w:rPr>
            <w:noProof/>
            <w:webHidden/>
          </w:rPr>
          <w:fldChar w:fldCharType="separate"/>
        </w:r>
        <w:r w:rsidR="00871648">
          <w:rPr>
            <w:noProof/>
            <w:webHidden/>
          </w:rPr>
          <w:t>61</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62" w:history="1">
        <w:r w:rsidR="00613944">
          <w:rPr>
            <w:rStyle w:val="Hipercze"/>
            <w:noProof/>
          </w:rPr>
          <w:t xml:space="preserve">Mapa 7. </w:t>
        </w:r>
        <w:r w:rsidR="0052429C" w:rsidRPr="00AE1F43">
          <w:rPr>
            <w:rStyle w:val="Hipercze"/>
            <w:noProof/>
          </w:rPr>
          <w:t xml:space="preserve"> Krajowy System Elektroenergetyczny (http://www.pse.pl/index.php?dzid=77)</w:t>
        </w:r>
        <w:r w:rsidR="0052429C">
          <w:rPr>
            <w:noProof/>
            <w:webHidden/>
          </w:rPr>
          <w:tab/>
        </w:r>
        <w:r>
          <w:rPr>
            <w:noProof/>
            <w:webHidden/>
          </w:rPr>
          <w:fldChar w:fldCharType="begin"/>
        </w:r>
        <w:r w:rsidR="0052429C">
          <w:rPr>
            <w:noProof/>
            <w:webHidden/>
          </w:rPr>
          <w:instrText xml:space="preserve"> PAGEREF _Toc427675262 \h </w:instrText>
        </w:r>
        <w:r>
          <w:rPr>
            <w:noProof/>
            <w:webHidden/>
          </w:rPr>
        </w:r>
        <w:r>
          <w:rPr>
            <w:noProof/>
            <w:webHidden/>
          </w:rPr>
          <w:fldChar w:fldCharType="separate"/>
        </w:r>
        <w:r w:rsidR="00871648">
          <w:rPr>
            <w:noProof/>
            <w:webHidden/>
          </w:rPr>
          <w:t>63</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63" w:history="1">
        <w:r w:rsidR="0052429C" w:rsidRPr="00AE1F43">
          <w:rPr>
            <w:rStyle w:val="Hipercze"/>
            <w:noProof/>
          </w:rPr>
          <w:t>Mapa 8, Klasyfikacja stref w 2011 oraz 2012, w sprawie ochrony zdrowia</w:t>
        </w:r>
        <w:r w:rsidR="0052429C">
          <w:rPr>
            <w:noProof/>
            <w:webHidden/>
          </w:rPr>
          <w:tab/>
        </w:r>
        <w:r>
          <w:rPr>
            <w:noProof/>
            <w:webHidden/>
          </w:rPr>
          <w:fldChar w:fldCharType="begin"/>
        </w:r>
        <w:r w:rsidR="0052429C">
          <w:rPr>
            <w:noProof/>
            <w:webHidden/>
          </w:rPr>
          <w:instrText xml:space="preserve"> PAGEREF _Toc427675263 \h </w:instrText>
        </w:r>
        <w:r>
          <w:rPr>
            <w:noProof/>
            <w:webHidden/>
          </w:rPr>
        </w:r>
        <w:r>
          <w:rPr>
            <w:noProof/>
            <w:webHidden/>
          </w:rPr>
          <w:fldChar w:fldCharType="separate"/>
        </w:r>
        <w:r w:rsidR="00871648">
          <w:rPr>
            <w:noProof/>
            <w:webHidden/>
          </w:rPr>
          <w:t>77</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r:id="rId11" w:anchor="_Toc427675264" w:history="1">
        <w:r w:rsidR="0052429C">
          <w:rPr>
            <w:rStyle w:val="Hipercze"/>
            <w:noProof/>
          </w:rPr>
          <w:t xml:space="preserve">Mapa </w:t>
        </w:r>
        <w:r w:rsidR="0052429C" w:rsidRPr="00AE1F43">
          <w:rPr>
            <w:rStyle w:val="Hipercze"/>
            <w:noProof/>
          </w:rPr>
          <w:t>9. Potencjał wykorzystania energii słonecznej na terenie Europy (źródło: http://www.zielonaenergia.eco.pl)</w:t>
        </w:r>
        <w:r w:rsidR="0052429C">
          <w:rPr>
            <w:noProof/>
            <w:webHidden/>
          </w:rPr>
          <w:tab/>
        </w:r>
        <w:r>
          <w:rPr>
            <w:noProof/>
            <w:webHidden/>
          </w:rPr>
          <w:fldChar w:fldCharType="begin"/>
        </w:r>
        <w:r w:rsidR="0052429C">
          <w:rPr>
            <w:noProof/>
            <w:webHidden/>
          </w:rPr>
          <w:instrText xml:space="preserve"> PAGEREF _Toc427675264 \h </w:instrText>
        </w:r>
        <w:r>
          <w:rPr>
            <w:noProof/>
            <w:webHidden/>
          </w:rPr>
        </w:r>
        <w:r>
          <w:rPr>
            <w:noProof/>
            <w:webHidden/>
          </w:rPr>
          <w:fldChar w:fldCharType="separate"/>
        </w:r>
        <w:r w:rsidR="00871648">
          <w:rPr>
            <w:noProof/>
            <w:webHidden/>
          </w:rPr>
          <w:t>82</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65" w:history="1">
        <w:r w:rsidR="0052429C" w:rsidRPr="00AE1F43">
          <w:rPr>
            <w:rStyle w:val="Hipercze"/>
            <w:noProof/>
          </w:rPr>
          <w:t>Mapa 10. Potencjał wykorzystania energii słonecznej na terenie Polski (źródło: IMiGW)</w:t>
        </w:r>
        <w:r w:rsidR="0052429C">
          <w:rPr>
            <w:noProof/>
            <w:webHidden/>
          </w:rPr>
          <w:tab/>
        </w:r>
        <w:r>
          <w:rPr>
            <w:noProof/>
            <w:webHidden/>
          </w:rPr>
          <w:fldChar w:fldCharType="begin"/>
        </w:r>
        <w:r w:rsidR="0052429C">
          <w:rPr>
            <w:noProof/>
            <w:webHidden/>
          </w:rPr>
          <w:instrText xml:space="preserve"> PAGEREF _Toc427675265 \h </w:instrText>
        </w:r>
        <w:r>
          <w:rPr>
            <w:noProof/>
            <w:webHidden/>
          </w:rPr>
        </w:r>
        <w:r>
          <w:rPr>
            <w:noProof/>
            <w:webHidden/>
          </w:rPr>
          <w:fldChar w:fldCharType="separate"/>
        </w:r>
        <w:r w:rsidR="00871648">
          <w:rPr>
            <w:noProof/>
            <w:webHidden/>
          </w:rPr>
          <w:t>83</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66" w:history="1">
        <w:r w:rsidR="0052429C">
          <w:rPr>
            <w:rStyle w:val="Hipercze"/>
            <w:noProof/>
          </w:rPr>
          <w:t xml:space="preserve">Mapa </w:t>
        </w:r>
        <w:r w:rsidR="0052429C" w:rsidRPr="00AE1F43">
          <w:rPr>
            <w:rStyle w:val="Hipercze"/>
            <w:noProof/>
          </w:rPr>
          <w:t>11. Zasoby geotermalne Polski (http://www.pga.org.pl/geotermia-zasoby-polskie.html)</w:t>
        </w:r>
        <w:r w:rsidR="0052429C">
          <w:rPr>
            <w:noProof/>
            <w:webHidden/>
          </w:rPr>
          <w:tab/>
        </w:r>
        <w:r>
          <w:rPr>
            <w:noProof/>
            <w:webHidden/>
          </w:rPr>
          <w:fldChar w:fldCharType="begin"/>
        </w:r>
        <w:r w:rsidR="0052429C">
          <w:rPr>
            <w:noProof/>
            <w:webHidden/>
          </w:rPr>
          <w:instrText xml:space="preserve"> PAGEREF _Toc427675266 \h </w:instrText>
        </w:r>
        <w:r>
          <w:rPr>
            <w:noProof/>
            <w:webHidden/>
          </w:rPr>
        </w:r>
        <w:r>
          <w:rPr>
            <w:noProof/>
            <w:webHidden/>
          </w:rPr>
          <w:fldChar w:fldCharType="separate"/>
        </w:r>
        <w:r w:rsidR="00871648">
          <w:rPr>
            <w:noProof/>
            <w:webHidden/>
          </w:rPr>
          <w:t>85</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267" w:history="1">
        <w:r w:rsidR="0052429C" w:rsidRPr="00AE1F43">
          <w:rPr>
            <w:rStyle w:val="Hipercze"/>
            <w:noProof/>
          </w:rPr>
          <w:t>Mapa 12. Mapa wietrzności Polski (http://www.pepsa.com.pl/pl/strona/otoczenie-rynkowe)</w:t>
        </w:r>
        <w:r w:rsidR="0052429C">
          <w:rPr>
            <w:noProof/>
            <w:webHidden/>
          </w:rPr>
          <w:tab/>
        </w:r>
        <w:r>
          <w:rPr>
            <w:noProof/>
            <w:webHidden/>
          </w:rPr>
          <w:fldChar w:fldCharType="begin"/>
        </w:r>
        <w:r w:rsidR="0052429C">
          <w:rPr>
            <w:noProof/>
            <w:webHidden/>
          </w:rPr>
          <w:instrText xml:space="preserve"> PAGEREF _Toc427675267 \h </w:instrText>
        </w:r>
        <w:r>
          <w:rPr>
            <w:noProof/>
            <w:webHidden/>
          </w:rPr>
        </w:r>
        <w:r>
          <w:rPr>
            <w:noProof/>
            <w:webHidden/>
          </w:rPr>
          <w:fldChar w:fldCharType="separate"/>
        </w:r>
        <w:r w:rsidR="00871648">
          <w:rPr>
            <w:noProof/>
            <w:webHidden/>
          </w:rPr>
          <w:t>89</w:t>
        </w:r>
        <w:r>
          <w:rPr>
            <w:noProof/>
            <w:webHidden/>
          </w:rPr>
          <w:fldChar w:fldCharType="end"/>
        </w:r>
      </w:hyperlink>
    </w:p>
    <w:p w:rsidR="00575A56" w:rsidRDefault="00A93FFF" w:rsidP="00515420">
      <w:pPr>
        <w:pStyle w:val="Nagwek1"/>
        <w:numPr>
          <w:ilvl w:val="0"/>
          <w:numId w:val="0"/>
        </w:numPr>
        <w:spacing w:line="360" w:lineRule="auto"/>
        <w:ind w:left="432" w:hanging="432"/>
      </w:pPr>
      <w:r>
        <w:fldChar w:fldCharType="end"/>
      </w:r>
      <w:bookmarkStart w:id="2" w:name="_Toc427675547"/>
      <w:bookmarkStart w:id="3" w:name="_Toc427734946"/>
      <w:r w:rsidR="0052429C">
        <w:t>SPIS TABEL</w:t>
      </w:r>
      <w:bookmarkEnd w:id="2"/>
      <w:bookmarkEnd w:id="3"/>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r w:rsidRPr="00A93FFF">
        <w:fldChar w:fldCharType="begin"/>
      </w:r>
      <w:r w:rsidR="0052429C">
        <w:instrText xml:space="preserve"> TOC \h \z \c "Tabela" </w:instrText>
      </w:r>
      <w:r w:rsidRPr="00A93FFF">
        <w:fldChar w:fldCharType="separate"/>
      </w:r>
      <w:hyperlink w:anchor="_Toc427675347" w:history="1">
        <w:r w:rsidR="00613944">
          <w:rPr>
            <w:rStyle w:val="Hipercze"/>
            <w:noProof/>
          </w:rPr>
          <w:t>Tabela 1. P</w:t>
        </w:r>
        <w:r w:rsidR="0052429C" w:rsidRPr="007F0D27">
          <w:rPr>
            <w:rStyle w:val="Hipercze"/>
            <w:noProof/>
          </w:rPr>
          <w:t>rzedstawienie poszczególnych sołectw na terenie gminy Strawczyn</w:t>
        </w:r>
        <w:r w:rsidR="0052429C">
          <w:rPr>
            <w:noProof/>
            <w:webHidden/>
          </w:rPr>
          <w:tab/>
        </w:r>
        <w:r>
          <w:rPr>
            <w:noProof/>
            <w:webHidden/>
          </w:rPr>
          <w:fldChar w:fldCharType="begin"/>
        </w:r>
        <w:r w:rsidR="0052429C">
          <w:rPr>
            <w:noProof/>
            <w:webHidden/>
          </w:rPr>
          <w:instrText xml:space="preserve"> PAGEREF _Toc427675347 \h </w:instrText>
        </w:r>
        <w:r>
          <w:rPr>
            <w:noProof/>
            <w:webHidden/>
          </w:rPr>
        </w:r>
        <w:r>
          <w:rPr>
            <w:noProof/>
            <w:webHidden/>
          </w:rPr>
          <w:fldChar w:fldCharType="separate"/>
        </w:r>
        <w:r w:rsidR="00871648">
          <w:rPr>
            <w:noProof/>
            <w:webHidden/>
          </w:rPr>
          <w:t>39</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48" w:history="1">
        <w:r w:rsidR="0052429C" w:rsidRPr="007F0D27">
          <w:rPr>
            <w:rStyle w:val="Hipercze"/>
            <w:rFonts w:ascii="Cambria Math" w:hAnsi="Cambria Math" w:cstheme="minorHAnsi"/>
            <w:noProof/>
          </w:rPr>
          <w:t>Tabela 2. Podmioty gospodarcze na terenie gminy Strawczyn wg sekcji PKD w roku 2013.</w:t>
        </w:r>
        <w:r w:rsidR="0052429C">
          <w:rPr>
            <w:noProof/>
            <w:webHidden/>
          </w:rPr>
          <w:tab/>
        </w:r>
        <w:r>
          <w:rPr>
            <w:noProof/>
            <w:webHidden/>
          </w:rPr>
          <w:fldChar w:fldCharType="begin"/>
        </w:r>
        <w:r w:rsidR="0052429C">
          <w:rPr>
            <w:noProof/>
            <w:webHidden/>
          </w:rPr>
          <w:instrText xml:space="preserve"> PAGEREF _Toc427675348 \h </w:instrText>
        </w:r>
        <w:r>
          <w:rPr>
            <w:noProof/>
            <w:webHidden/>
          </w:rPr>
        </w:r>
        <w:r>
          <w:rPr>
            <w:noProof/>
            <w:webHidden/>
          </w:rPr>
          <w:fldChar w:fldCharType="separate"/>
        </w:r>
        <w:r w:rsidR="00871648">
          <w:rPr>
            <w:noProof/>
            <w:webHidden/>
          </w:rPr>
          <w:t>53</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49" w:history="1">
        <w:r w:rsidR="0052429C" w:rsidRPr="007F0D27">
          <w:rPr>
            <w:rStyle w:val="Hipercze"/>
            <w:noProof/>
          </w:rPr>
          <w:t>Tabela 3. Zestawienie obiektów użyteczności publicznej na terenie gminy Strawczyn ze wskazaniem źródła ciepła (opracowanie własne na podstawie ankietyzacji obiektów użyteczności publicznej)</w:t>
        </w:r>
        <w:r w:rsidR="0052429C">
          <w:rPr>
            <w:noProof/>
            <w:webHidden/>
          </w:rPr>
          <w:tab/>
        </w:r>
        <w:r>
          <w:rPr>
            <w:noProof/>
            <w:webHidden/>
          </w:rPr>
          <w:fldChar w:fldCharType="begin"/>
        </w:r>
        <w:r w:rsidR="0052429C">
          <w:rPr>
            <w:noProof/>
            <w:webHidden/>
          </w:rPr>
          <w:instrText xml:space="preserve"> PAGEREF _Toc427675349 \h </w:instrText>
        </w:r>
        <w:r>
          <w:rPr>
            <w:noProof/>
            <w:webHidden/>
          </w:rPr>
        </w:r>
        <w:r>
          <w:rPr>
            <w:noProof/>
            <w:webHidden/>
          </w:rPr>
          <w:fldChar w:fldCharType="separate"/>
        </w:r>
        <w:r w:rsidR="00871648">
          <w:rPr>
            <w:noProof/>
            <w:webHidden/>
          </w:rPr>
          <w:t>56</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0" w:history="1">
        <w:r w:rsidR="0052429C" w:rsidRPr="007F0D27">
          <w:rPr>
            <w:rStyle w:val="Hipercze"/>
            <w:noProof/>
          </w:rPr>
          <w:t>Tabela 4. Prognozowane zapotrzebowanie na energię cieplną gminy Strawczyn</w:t>
        </w:r>
        <w:r w:rsidR="0052429C">
          <w:rPr>
            <w:noProof/>
            <w:webHidden/>
          </w:rPr>
          <w:tab/>
        </w:r>
        <w:r>
          <w:rPr>
            <w:noProof/>
            <w:webHidden/>
          </w:rPr>
          <w:fldChar w:fldCharType="begin"/>
        </w:r>
        <w:r w:rsidR="0052429C">
          <w:rPr>
            <w:noProof/>
            <w:webHidden/>
          </w:rPr>
          <w:instrText xml:space="preserve"> PAGEREF _Toc427675350 \h </w:instrText>
        </w:r>
        <w:r>
          <w:rPr>
            <w:noProof/>
            <w:webHidden/>
          </w:rPr>
        </w:r>
        <w:r>
          <w:rPr>
            <w:noProof/>
            <w:webHidden/>
          </w:rPr>
          <w:fldChar w:fldCharType="separate"/>
        </w:r>
        <w:r w:rsidR="00871648">
          <w:rPr>
            <w:noProof/>
            <w:webHidden/>
          </w:rPr>
          <w:t>57</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1" w:history="1">
        <w:r w:rsidR="0052429C" w:rsidRPr="007F0D27">
          <w:rPr>
            <w:rStyle w:val="Hipercze"/>
            <w:noProof/>
          </w:rPr>
          <w:t>Tabela 5.Prognoza zapotrzebowania na energię elektryczną na terenie gminy Strawczyn - średnioroczny wzrost o 0,5% (opracowanie własne)</w:t>
        </w:r>
        <w:r w:rsidR="0052429C">
          <w:rPr>
            <w:noProof/>
            <w:webHidden/>
          </w:rPr>
          <w:tab/>
        </w:r>
        <w:r>
          <w:rPr>
            <w:noProof/>
            <w:webHidden/>
          </w:rPr>
          <w:fldChar w:fldCharType="begin"/>
        </w:r>
        <w:r w:rsidR="0052429C">
          <w:rPr>
            <w:noProof/>
            <w:webHidden/>
          </w:rPr>
          <w:instrText xml:space="preserve"> PAGEREF _Toc427675351 \h </w:instrText>
        </w:r>
        <w:r>
          <w:rPr>
            <w:noProof/>
            <w:webHidden/>
          </w:rPr>
        </w:r>
        <w:r>
          <w:rPr>
            <w:noProof/>
            <w:webHidden/>
          </w:rPr>
          <w:fldChar w:fldCharType="separate"/>
        </w:r>
        <w:r w:rsidR="00871648">
          <w:rPr>
            <w:noProof/>
            <w:webHidden/>
          </w:rPr>
          <w:t>64</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2" w:history="1">
        <w:r w:rsidR="0052429C" w:rsidRPr="007F0D27">
          <w:rPr>
            <w:rStyle w:val="Hipercze"/>
            <w:noProof/>
          </w:rPr>
          <w:t>Tabela 6. Prognoza zapotrzebowania na energię elektryczną</w:t>
        </w:r>
        <w:r w:rsidR="00613944">
          <w:rPr>
            <w:rStyle w:val="Hipercze"/>
            <w:noProof/>
          </w:rPr>
          <w:t xml:space="preserve"> na terenie gminy Strawczyn</w:t>
        </w:r>
        <w:r w:rsidR="0052429C" w:rsidRPr="007F0D27">
          <w:rPr>
            <w:rStyle w:val="Hipercze"/>
            <w:noProof/>
          </w:rPr>
          <w:t>- średnioroczny wzrost o  1 % (opracowanie własne)</w:t>
        </w:r>
        <w:r w:rsidR="0052429C">
          <w:rPr>
            <w:noProof/>
            <w:webHidden/>
          </w:rPr>
          <w:tab/>
        </w:r>
        <w:r>
          <w:rPr>
            <w:noProof/>
            <w:webHidden/>
          </w:rPr>
          <w:fldChar w:fldCharType="begin"/>
        </w:r>
        <w:r w:rsidR="0052429C">
          <w:rPr>
            <w:noProof/>
            <w:webHidden/>
          </w:rPr>
          <w:instrText xml:space="preserve"> PAGEREF _Toc427675352 \h </w:instrText>
        </w:r>
        <w:r>
          <w:rPr>
            <w:noProof/>
            <w:webHidden/>
          </w:rPr>
        </w:r>
        <w:r>
          <w:rPr>
            <w:noProof/>
            <w:webHidden/>
          </w:rPr>
          <w:fldChar w:fldCharType="separate"/>
        </w:r>
        <w:r w:rsidR="00871648">
          <w:rPr>
            <w:noProof/>
            <w:webHidden/>
          </w:rPr>
          <w:t>65</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3" w:history="1">
        <w:r w:rsidR="0052429C" w:rsidRPr="007F0D27">
          <w:rPr>
            <w:rStyle w:val="Hipercze"/>
            <w:noProof/>
          </w:rPr>
          <w:t>Tabela 7. Prognoza zapotrzebowania na energię elektryczną</w:t>
        </w:r>
        <w:r w:rsidR="00613944">
          <w:rPr>
            <w:rStyle w:val="Hipercze"/>
            <w:noProof/>
          </w:rPr>
          <w:t xml:space="preserve"> na terenie gminy Strawczyn</w:t>
        </w:r>
        <w:r w:rsidR="0052429C" w:rsidRPr="007F0D27">
          <w:rPr>
            <w:rStyle w:val="Hipercze"/>
            <w:noProof/>
          </w:rPr>
          <w:t>- średnioroczny wzrost o  2% (opracowanie własne)</w:t>
        </w:r>
        <w:r w:rsidR="0052429C">
          <w:rPr>
            <w:noProof/>
            <w:webHidden/>
          </w:rPr>
          <w:tab/>
        </w:r>
        <w:r>
          <w:rPr>
            <w:noProof/>
            <w:webHidden/>
          </w:rPr>
          <w:fldChar w:fldCharType="begin"/>
        </w:r>
        <w:r w:rsidR="0052429C">
          <w:rPr>
            <w:noProof/>
            <w:webHidden/>
          </w:rPr>
          <w:instrText xml:space="preserve"> PAGEREF _Toc427675353 \h </w:instrText>
        </w:r>
        <w:r>
          <w:rPr>
            <w:noProof/>
            <w:webHidden/>
          </w:rPr>
        </w:r>
        <w:r>
          <w:rPr>
            <w:noProof/>
            <w:webHidden/>
          </w:rPr>
          <w:fldChar w:fldCharType="separate"/>
        </w:r>
        <w:r w:rsidR="00871648">
          <w:rPr>
            <w:noProof/>
            <w:webHidden/>
          </w:rPr>
          <w:t>66</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4" w:history="1">
        <w:r w:rsidR="0052429C" w:rsidRPr="007F0D27">
          <w:rPr>
            <w:rStyle w:val="Hipercze"/>
            <w:noProof/>
          </w:rPr>
          <w:t>Tabela 8. Inwestycje planowane do realizacji na terenie Gminy przez PGE Dystrybucja S.A. (dane udostępnione przez PGE Dystrybucja S.A.)</w:t>
        </w:r>
        <w:r w:rsidR="0052429C">
          <w:rPr>
            <w:noProof/>
            <w:webHidden/>
          </w:rPr>
          <w:tab/>
        </w:r>
        <w:r>
          <w:rPr>
            <w:noProof/>
            <w:webHidden/>
          </w:rPr>
          <w:fldChar w:fldCharType="begin"/>
        </w:r>
        <w:r w:rsidR="0052429C">
          <w:rPr>
            <w:noProof/>
            <w:webHidden/>
          </w:rPr>
          <w:instrText xml:space="preserve"> PAGEREF _Toc427675354 \h </w:instrText>
        </w:r>
        <w:r>
          <w:rPr>
            <w:noProof/>
            <w:webHidden/>
          </w:rPr>
        </w:r>
        <w:r>
          <w:rPr>
            <w:noProof/>
            <w:webHidden/>
          </w:rPr>
          <w:fldChar w:fldCharType="separate"/>
        </w:r>
        <w:r w:rsidR="00871648">
          <w:rPr>
            <w:noProof/>
            <w:webHidden/>
          </w:rPr>
          <w:t>67</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5" w:history="1">
        <w:r w:rsidR="0052429C" w:rsidRPr="007F0D27">
          <w:rPr>
            <w:rStyle w:val="Hipercze"/>
            <w:noProof/>
          </w:rPr>
          <w:t>Tabela 9. Charakterystyka systemu oświetleniowego gminy Strawczyn.</w:t>
        </w:r>
        <w:r w:rsidR="0052429C">
          <w:rPr>
            <w:noProof/>
            <w:webHidden/>
          </w:rPr>
          <w:tab/>
        </w:r>
        <w:r>
          <w:rPr>
            <w:noProof/>
            <w:webHidden/>
          </w:rPr>
          <w:fldChar w:fldCharType="begin"/>
        </w:r>
        <w:r w:rsidR="0052429C">
          <w:rPr>
            <w:noProof/>
            <w:webHidden/>
          </w:rPr>
          <w:instrText xml:space="preserve"> PAGEREF _Toc427675355 \h </w:instrText>
        </w:r>
        <w:r>
          <w:rPr>
            <w:noProof/>
            <w:webHidden/>
          </w:rPr>
        </w:r>
        <w:r>
          <w:rPr>
            <w:noProof/>
            <w:webHidden/>
          </w:rPr>
          <w:fldChar w:fldCharType="separate"/>
        </w:r>
        <w:r w:rsidR="00871648">
          <w:rPr>
            <w:noProof/>
            <w:webHidden/>
          </w:rPr>
          <w:t>68</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6" w:history="1">
        <w:r w:rsidR="0052429C" w:rsidRPr="007F0D27">
          <w:rPr>
            <w:rStyle w:val="Hipercze"/>
            <w:noProof/>
          </w:rPr>
          <w:t>Tabela 10. Prognoza cen paliw w imporcie do Polski (ceny stałe w USD roku 2009)</w:t>
        </w:r>
        <w:r w:rsidR="0052429C">
          <w:rPr>
            <w:noProof/>
            <w:webHidden/>
          </w:rPr>
          <w:tab/>
        </w:r>
        <w:r>
          <w:rPr>
            <w:noProof/>
            <w:webHidden/>
          </w:rPr>
          <w:fldChar w:fldCharType="begin"/>
        </w:r>
        <w:r w:rsidR="0052429C">
          <w:rPr>
            <w:noProof/>
            <w:webHidden/>
          </w:rPr>
          <w:instrText xml:space="preserve"> PAGEREF _Toc427675356 \h </w:instrText>
        </w:r>
        <w:r>
          <w:rPr>
            <w:noProof/>
            <w:webHidden/>
          </w:rPr>
        </w:r>
        <w:r>
          <w:rPr>
            <w:noProof/>
            <w:webHidden/>
          </w:rPr>
          <w:fldChar w:fldCharType="separate"/>
        </w:r>
        <w:r w:rsidR="00871648">
          <w:rPr>
            <w:noProof/>
            <w:webHidden/>
          </w:rPr>
          <w:t>70</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7" w:history="1">
        <w:r w:rsidR="0052429C" w:rsidRPr="007F0D27">
          <w:rPr>
            <w:rStyle w:val="Hipercze"/>
            <w:noProof/>
          </w:rPr>
          <w:t>Tabela 11. ceny energii elektrycznej dla kraju na lata 2010, 2020 oraz 2030 [zł/MWh] (źródło: załącznik Polityki Energetycznej Polski do 2030 roku, 2007 r.)</w:t>
        </w:r>
        <w:r w:rsidR="0052429C">
          <w:rPr>
            <w:noProof/>
            <w:webHidden/>
          </w:rPr>
          <w:tab/>
        </w:r>
        <w:r>
          <w:rPr>
            <w:noProof/>
            <w:webHidden/>
          </w:rPr>
          <w:fldChar w:fldCharType="begin"/>
        </w:r>
        <w:r w:rsidR="0052429C">
          <w:rPr>
            <w:noProof/>
            <w:webHidden/>
          </w:rPr>
          <w:instrText xml:space="preserve"> PAGEREF _Toc427675357 \h </w:instrText>
        </w:r>
        <w:r>
          <w:rPr>
            <w:noProof/>
            <w:webHidden/>
          </w:rPr>
        </w:r>
        <w:r>
          <w:rPr>
            <w:noProof/>
            <w:webHidden/>
          </w:rPr>
          <w:fldChar w:fldCharType="separate"/>
        </w:r>
        <w:r w:rsidR="00871648">
          <w:rPr>
            <w:noProof/>
            <w:webHidden/>
          </w:rPr>
          <w:t>71</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8" w:history="1">
        <w:r w:rsidR="0052429C" w:rsidRPr="007F0D27">
          <w:rPr>
            <w:rStyle w:val="Hipercze"/>
            <w:noProof/>
          </w:rPr>
          <w:t>Tabela 12. Prognozowane ceny ciepła sieciowego dla kraju na lata 2010, 2020 oraz 2030 [zł/GJ] (źródło: załącznik Polityki Energetycznej Polski do 2030 roku, 2007 r.)</w:t>
        </w:r>
        <w:r w:rsidR="0052429C">
          <w:rPr>
            <w:noProof/>
            <w:webHidden/>
          </w:rPr>
          <w:tab/>
        </w:r>
        <w:r>
          <w:rPr>
            <w:noProof/>
            <w:webHidden/>
          </w:rPr>
          <w:fldChar w:fldCharType="begin"/>
        </w:r>
        <w:r w:rsidR="0052429C">
          <w:rPr>
            <w:noProof/>
            <w:webHidden/>
          </w:rPr>
          <w:instrText xml:space="preserve"> PAGEREF _Toc427675358 \h </w:instrText>
        </w:r>
        <w:r>
          <w:rPr>
            <w:noProof/>
            <w:webHidden/>
          </w:rPr>
        </w:r>
        <w:r>
          <w:rPr>
            <w:noProof/>
            <w:webHidden/>
          </w:rPr>
          <w:fldChar w:fldCharType="separate"/>
        </w:r>
        <w:r w:rsidR="00871648">
          <w:rPr>
            <w:noProof/>
            <w:webHidden/>
          </w:rPr>
          <w:t>71</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59" w:history="1">
        <w:r w:rsidR="0052429C" w:rsidRPr="007F0D27">
          <w:rPr>
            <w:rStyle w:val="Hipercze"/>
            <w:noProof/>
          </w:rPr>
          <w:t>Tabela 13. Grupa taryfowa B dla roku 2010 oraz 2014</w:t>
        </w:r>
        <w:r w:rsidR="0052429C">
          <w:rPr>
            <w:noProof/>
            <w:webHidden/>
          </w:rPr>
          <w:tab/>
        </w:r>
        <w:r>
          <w:rPr>
            <w:noProof/>
            <w:webHidden/>
          </w:rPr>
          <w:fldChar w:fldCharType="begin"/>
        </w:r>
        <w:r w:rsidR="0052429C">
          <w:rPr>
            <w:noProof/>
            <w:webHidden/>
          </w:rPr>
          <w:instrText xml:space="preserve"> PAGEREF _Toc427675359 \h </w:instrText>
        </w:r>
        <w:r>
          <w:rPr>
            <w:noProof/>
            <w:webHidden/>
          </w:rPr>
        </w:r>
        <w:r>
          <w:rPr>
            <w:noProof/>
            <w:webHidden/>
          </w:rPr>
          <w:fldChar w:fldCharType="separate"/>
        </w:r>
        <w:r w:rsidR="00871648">
          <w:rPr>
            <w:noProof/>
            <w:webHidden/>
          </w:rPr>
          <w:t>72</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60" w:history="1">
        <w:r w:rsidR="0052429C" w:rsidRPr="007F0D27">
          <w:rPr>
            <w:rStyle w:val="Hipercze"/>
            <w:noProof/>
          </w:rPr>
          <w:t>Tabela 14. Grupa taryfowa C dla roku 2010 oraz 2014</w:t>
        </w:r>
        <w:r w:rsidR="0052429C">
          <w:rPr>
            <w:noProof/>
            <w:webHidden/>
          </w:rPr>
          <w:tab/>
        </w:r>
        <w:r>
          <w:rPr>
            <w:noProof/>
            <w:webHidden/>
          </w:rPr>
          <w:fldChar w:fldCharType="begin"/>
        </w:r>
        <w:r w:rsidR="0052429C">
          <w:rPr>
            <w:noProof/>
            <w:webHidden/>
          </w:rPr>
          <w:instrText xml:space="preserve"> PAGEREF _Toc427675360 \h </w:instrText>
        </w:r>
        <w:r>
          <w:rPr>
            <w:noProof/>
            <w:webHidden/>
          </w:rPr>
        </w:r>
        <w:r>
          <w:rPr>
            <w:noProof/>
            <w:webHidden/>
          </w:rPr>
          <w:fldChar w:fldCharType="separate"/>
        </w:r>
        <w:r w:rsidR="00871648">
          <w:rPr>
            <w:noProof/>
            <w:webHidden/>
          </w:rPr>
          <w:t>73</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61" w:history="1">
        <w:r w:rsidR="0052429C" w:rsidRPr="007F0D27">
          <w:rPr>
            <w:rStyle w:val="Hipercze"/>
            <w:noProof/>
          </w:rPr>
          <w:t>Tabela 15. Grupa taryfowa G dla roku 2010 oraz 2014</w:t>
        </w:r>
        <w:r w:rsidR="0052429C">
          <w:rPr>
            <w:noProof/>
            <w:webHidden/>
          </w:rPr>
          <w:tab/>
        </w:r>
        <w:r>
          <w:rPr>
            <w:noProof/>
            <w:webHidden/>
          </w:rPr>
          <w:fldChar w:fldCharType="begin"/>
        </w:r>
        <w:r w:rsidR="0052429C">
          <w:rPr>
            <w:noProof/>
            <w:webHidden/>
          </w:rPr>
          <w:instrText xml:space="preserve"> PAGEREF _Toc427675361 \h </w:instrText>
        </w:r>
        <w:r>
          <w:rPr>
            <w:noProof/>
            <w:webHidden/>
          </w:rPr>
        </w:r>
        <w:r>
          <w:rPr>
            <w:noProof/>
            <w:webHidden/>
          </w:rPr>
          <w:fldChar w:fldCharType="separate"/>
        </w:r>
        <w:r w:rsidR="00871648">
          <w:rPr>
            <w:noProof/>
            <w:webHidden/>
          </w:rPr>
          <w:t>73</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62" w:history="1">
        <w:r w:rsidR="0052429C" w:rsidRPr="007F0D27">
          <w:rPr>
            <w:rStyle w:val="Hipercze"/>
            <w:noProof/>
          </w:rPr>
          <w:t>Tabela 16. Emisja pyłów w Polsce i w województwie świętokrzyskim w latach 2008–2012                 (źródło: GUS)</w:t>
        </w:r>
        <w:r w:rsidR="0052429C">
          <w:rPr>
            <w:noProof/>
            <w:webHidden/>
          </w:rPr>
          <w:tab/>
        </w:r>
        <w:r>
          <w:rPr>
            <w:noProof/>
            <w:webHidden/>
          </w:rPr>
          <w:fldChar w:fldCharType="begin"/>
        </w:r>
        <w:r w:rsidR="0052429C">
          <w:rPr>
            <w:noProof/>
            <w:webHidden/>
          </w:rPr>
          <w:instrText xml:space="preserve"> PAGEREF _Toc427675362 \h </w:instrText>
        </w:r>
        <w:r>
          <w:rPr>
            <w:noProof/>
            <w:webHidden/>
          </w:rPr>
        </w:r>
        <w:r>
          <w:rPr>
            <w:noProof/>
            <w:webHidden/>
          </w:rPr>
          <w:fldChar w:fldCharType="separate"/>
        </w:r>
        <w:r w:rsidR="00871648">
          <w:rPr>
            <w:noProof/>
            <w:webHidden/>
          </w:rPr>
          <w:t>75</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63" w:history="1">
        <w:r w:rsidR="0052429C" w:rsidRPr="007F0D27">
          <w:rPr>
            <w:rStyle w:val="Hipercze"/>
            <w:noProof/>
          </w:rPr>
          <w:t>Tabela 17. Emisja gazów w Polsce i w województwie świętokrzyskim w latach 2008–2012            (źródło: GUS)</w:t>
        </w:r>
        <w:r w:rsidR="0052429C">
          <w:rPr>
            <w:noProof/>
            <w:webHidden/>
          </w:rPr>
          <w:tab/>
        </w:r>
        <w:r>
          <w:rPr>
            <w:noProof/>
            <w:webHidden/>
          </w:rPr>
          <w:fldChar w:fldCharType="begin"/>
        </w:r>
        <w:r w:rsidR="0052429C">
          <w:rPr>
            <w:noProof/>
            <w:webHidden/>
          </w:rPr>
          <w:instrText xml:space="preserve"> PAGEREF _Toc427675363 \h </w:instrText>
        </w:r>
        <w:r>
          <w:rPr>
            <w:noProof/>
            <w:webHidden/>
          </w:rPr>
        </w:r>
        <w:r>
          <w:rPr>
            <w:noProof/>
            <w:webHidden/>
          </w:rPr>
          <w:fldChar w:fldCharType="separate"/>
        </w:r>
        <w:r w:rsidR="00871648">
          <w:rPr>
            <w:noProof/>
            <w:webHidden/>
          </w:rPr>
          <w:t>75</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364" w:history="1">
        <w:r w:rsidR="0052429C" w:rsidRPr="007F0D27">
          <w:rPr>
            <w:rStyle w:val="Hipercze"/>
            <w:noProof/>
          </w:rPr>
          <w:t>Tabela 18. Wyniki klasyfikacji stref za 2011 oraz 2012 rok w województwie świętokrzyskim ze względu na ochronę zdrowia ludzi.</w:t>
        </w:r>
        <w:r w:rsidR="0052429C">
          <w:rPr>
            <w:noProof/>
            <w:webHidden/>
          </w:rPr>
          <w:tab/>
        </w:r>
        <w:r>
          <w:rPr>
            <w:noProof/>
            <w:webHidden/>
          </w:rPr>
          <w:fldChar w:fldCharType="begin"/>
        </w:r>
        <w:r w:rsidR="0052429C">
          <w:rPr>
            <w:noProof/>
            <w:webHidden/>
          </w:rPr>
          <w:instrText xml:space="preserve"> PAGEREF _Toc427675364 \h </w:instrText>
        </w:r>
        <w:r>
          <w:rPr>
            <w:noProof/>
            <w:webHidden/>
          </w:rPr>
        </w:r>
        <w:r>
          <w:rPr>
            <w:noProof/>
            <w:webHidden/>
          </w:rPr>
          <w:fldChar w:fldCharType="separate"/>
        </w:r>
        <w:r w:rsidR="00871648">
          <w:rPr>
            <w:noProof/>
            <w:webHidden/>
          </w:rPr>
          <w:t>77</w:t>
        </w:r>
        <w:r>
          <w:rPr>
            <w:noProof/>
            <w:webHidden/>
          </w:rPr>
          <w:fldChar w:fldCharType="end"/>
        </w:r>
      </w:hyperlink>
    </w:p>
    <w:p w:rsidR="0052429C" w:rsidRPr="0052429C" w:rsidRDefault="00A93FFF" w:rsidP="00515420">
      <w:pPr>
        <w:pStyle w:val="Nagwek1"/>
        <w:numPr>
          <w:ilvl w:val="0"/>
          <w:numId w:val="0"/>
        </w:numPr>
        <w:spacing w:line="360" w:lineRule="auto"/>
        <w:ind w:left="432" w:hanging="432"/>
        <w:rPr>
          <w:noProof/>
        </w:rPr>
      </w:pPr>
      <w:r>
        <w:fldChar w:fldCharType="end"/>
      </w:r>
      <w:bookmarkStart w:id="4" w:name="_Toc427734947"/>
      <w:r w:rsidR="006C31EB">
        <w:t>Spis Wykresów</w:t>
      </w:r>
      <w:bookmarkEnd w:id="4"/>
      <w:r>
        <w:fldChar w:fldCharType="begin"/>
      </w:r>
      <w:r w:rsidR="0052429C">
        <w:instrText xml:space="preserve"> TOC \h \z \c "wykres" </w:instrText>
      </w:r>
      <w:r>
        <w:fldChar w:fldCharType="separate"/>
      </w:r>
    </w:p>
    <w:p w:rsidR="0052429C" w:rsidRP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2" w:history="1">
        <w:r w:rsidR="0052429C" w:rsidRPr="0052429C">
          <w:rPr>
            <w:rStyle w:val="Hipercze"/>
            <w:rFonts w:ascii="Cambria Math" w:hAnsi="Cambria Math" w:cstheme="minorHAnsi"/>
            <w:noProof/>
          </w:rPr>
          <w:t>Wykres 1. Liczba mieszkańców gminy Strawczyn w latach 2000-2013.</w:t>
        </w:r>
        <w:r w:rsidR="0052429C" w:rsidRPr="0052429C">
          <w:rPr>
            <w:noProof/>
            <w:webHidden/>
          </w:rPr>
          <w:tab/>
        </w:r>
        <w:r w:rsidRPr="0052429C">
          <w:rPr>
            <w:noProof/>
            <w:webHidden/>
          </w:rPr>
          <w:fldChar w:fldCharType="begin"/>
        </w:r>
        <w:r w:rsidR="0052429C" w:rsidRPr="0052429C">
          <w:rPr>
            <w:noProof/>
            <w:webHidden/>
          </w:rPr>
          <w:instrText xml:space="preserve"> PAGEREF _Toc427675422 \h </w:instrText>
        </w:r>
        <w:r w:rsidRPr="0052429C">
          <w:rPr>
            <w:noProof/>
            <w:webHidden/>
          </w:rPr>
        </w:r>
        <w:r w:rsidRPr="0052429C">
          <w:rPr>
            <w:noProof/>
            <w:webHidden/>
          </w:rPr>
          <w:fldChar w:fldCharType="separate"/>
        </w:r>
        <w:r w:rsidR="00871648">
          <w:rPr>
            <w:noProof/>
            <w:webHidden/>
          </w:rPr>
          <w:t>48</w:t>
        </w:r>
        <w:r w:rsidRPr="0052429C">
          <w:rPr>
            <w:noProof/>
            <w:webHidden/>
          </w:rPr>
          <w:fldChar w:fldCharType="end"/>
        </w:r>
      </w:hyperlink>
    </w:p>
    <w:p w:rsidR="0052429C" w:rsidRP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3" w:history="1">
        <w:r w:rsidR="0052429C" w:rsidRPr="0052429C">
          <w:rPr>
            <w:rStyle w:val="Hipercze"/>
            <w:rFonts w:ascii="Cambria Math" w:hAnsi="Cambria Math" w:cs="Vani"/>
            <w:noProof/>
          </w:rPr>
          <w:t>Wykres 2. Zmiany liczby mieszka</w:t>
        </w:r>
        <w:r w:rsidR="0052429C" w:rsidRPr="0052429C">
          <w:rPr>
            <w:rStyle w:val="Hipercze"/>
            <w:rFonts w:ascii="Cambria Math" w:hAnsi="Cambria Math" w:cs="Calibri"/>
            <w:noProof/>
          </w:rPr>
          <w:t>ń</w:t>
        </w:r>
        <w:r w:rsidR="0052429C" w:rsidRPr="0052429C">
          <w:rPr>
            <w:rStyle w:val="Hipercze"/>
            <w:rFonts w:ascii="Cambria Math" w:hAnsi="Cambria Math" w:cs="Vani"/>
            <w:noProof/>
          </w:rPr>
          <w:t>ców na terenie gminy Strawczyn w latach 2000-2013 wraz  z prognoz</w:t>
        </w:r>
        <w:r w:rsidR="0052429C" w:rsidRPr="0052429C">
          <w:rPr>
            <w:rStyle w:val="Hipercze"/>
            <w:rFonts w:ascii="Cambria Math" w:hAnsi="Cambria Math" w:cs="Calibri"/>
            <w:noProof/>
          </w:rPr>
          <w:t>ą</w:t>
        </w:r>
        <w:r w:rsidR="0052429C" w:rsidRPr="0052429C">
          <w:rPr>
            <w:rStyle w:val="Hipercze"/>
            <w:rFonts w:ascii="Cambria Math" w:hAnsi="Cambria Math" w:cs="Vani"/>
            <w:noProof/>
          </w:rPr>
          <w:t xml:space="preserve"> na lata 2014-2020.</w:t>
        </w:r>
        <w:r w:rsidR="0052429C" w:rsidRPr="0052429C">
          <w:rPr>
            <w:noProof/>
            <w:webHidden/>
          </w:rPr>
          <w:tab/>
        </w:r>
        <w:r w:rsidRPr="0052429C">
          <w:rPr>
            <w:noProof/>
            <w:webHidden/>
          </w:rPr>
          <w:fldChar w:fldCharType="begin"/>
        </w:r>
        <w:r w:rsidR="0052429C" w:rsidRPr="0052429C">
          <w:rPr>
            <w:noProof/>
            <w:webHidden/>
          </w:rPr>
          <w:instrText xml:space="preserve"> PAGEREF _Toc427675423 \h </w:instrText>
        </w:r>
        <w:r w:rsidRPr="0052429C">
          <w:rPr>
            <w:noProof/>
            <w:webHidden/>
          </w:rPr>
        </w:r>
        <w:r w:rsidRPr="0052429C">
          <w:rPr>
            <w:noProof/>
            <w:webHidden/>
          </w:rPr>
          <w:fldChar w:fldCharType="separate"/>
        </w:r>
        <w:r w:rsidR="00871648">
          <w:rPr>
            <w:noProof/>
            <w:webHidden/>
          </w:rPr>
          <w:t>49</w:t>
        </w:r>
        <w:r w:rsidRPr="0052429C">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4" w:history="1">
        <w:r w:rsidR="0052429C" w:rsidRPr="0052429C">
          <w:rPr>
            <w:rStyle w:val="Hipercze"/>
            <w:rFonts w:ascii="Cambria Math" w:hAnsi="Cambria Math" w:cstheme="minorHAnsi"/>
            <w:noProof/>
          </w:rPr>
          <w:t>Wykres 3. Zmiany liczby mieszkań na terenie gminy Strawczyn w latach 2000-2013.</w:t>
        </w:r>
        <w:r w:rsidR="0052429C" w:rsidRPr="0052429C">
          <w:rPr>
            <w:noProof/>
            <w:webHidden/>
          </w:rPr>
          <w:tab/>
        </w:r>
        <w:r w:rsidRPr="0052429C">
          <w:rPr>
            <w:noProof/>
            <w:webHidden/>
          </w:rPr>
          <w:fldChar w:fldCharType="begin"/>
        </w:r>
        <w:r w:rsidR="0052429C" w:rsidRPr="0052429C">
          <w:rPr>
            <w:noProof/>
            <w:webHidden/>
          </w:rPr>
          <w:instrText xml:space="preserve"> PAGEREF _Toc427675424 \h </w:instrText>
        </w:r>
        <w:r w:rsidRPr="0052429C">
          <w:rPr>
            <w:noProof/>
            <w:webHidden/>
          </w:rPr>
        </w:r>
        <w:r w:rsidRPr="0052429C">
          <w:rPr>
            <w:noProof/>
            <w:webHidden/>
          </w:rPr>
          <w:fldChar w:fldCharType="separate"/>
        </w:r>
        <w:r w:rsidR="00871648">
          <w:rPr>
            <w:noProof/>
            <w:webHidden/>
          </w:rPr>
          <w:t>49</w:t>
        </w:r>
        <w:r w:rsidRPr="0052429C">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5" w:history="1">
        <w:r w:rsidR="0052429C" w:rsidRPr="007D180A">
          <w:rPr>
            <w:rStyle w:val="Hipercze"/>
            <w:rFonts w:ascii="Cambria Math" w:hAnsi="Cambria Math" w:cstheme="minorHAnsi"/>
            <w:noProof/>
          </w:rPr>
          <w:t>Wykres 4. Zmiany liczby mieszkań na terenie gminy Strawczyn w latach 2000-2013 wraz z prognozą na lata 2014-2020.</w:t>
        </w:r>
        <w:r w:rsidR="0052429C">
          <w:rPr>
            <w:noProof/>
            <w:webHidden/>
          </w:rPr>
          <w:tab/>
        </w:r>
        <w:r>
          <w:rPr>
            <w:noProof/>
            <w:webHidden/>
          </w:rPr>
          <w:fldChar w:fldCharType="begin"/>
        </w:r>
        <w:r w:rsidR="0052429C">
          <w:rPr>
            <w:noProof/>
            <w:webHidden/>
          </w:rPr>
          <w:instrText xml:space="preserve"> PAGEREF _Toc427675425 \h </w:instrText>
        </w:r>
        <w:r>
          <w:rPr>
            <w:noProof/>
            <w:webHidden/>
          </w:rPr>
        </w:r>
        <w:r>
          <w:rPr>
            <w:noProof/>
            <w:webHidden/>
          </w:rPr>
          <w:fldChar w:fldCharType="separate"/>
        </w:r>
        <w:r w:rsidR="00871648">
          <w:rPr>
            <w:noProof/>
            <w:webHidden/>
          </w:rPr>
          <w:t>50</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6" w:history="1">
        <w:r w:rsidR="0052429C" w:rsidRPr="007D180A">
          <w:rPr>
            <w:rStyle w:val="Hipercze"/>
            <w:rFonts w:ascii="Cambria Math" w:hAnsi="Cambria Math" w:cstheme="minorHAnsi"/>
            <w:noProof/>
          </w:rPr>
          <w:t>Wykres 5. Liczba nowych mieszkań oddanych do użytku na terenie gminy Strawczyn.</w:t>
        </w:r>
        <w:r w:rsidR="0052429C">
          <w:rPr>
            <w:noProof/>
            <w:webHidden/>
          </w:rPr>
          <w:tab/>
        </w:r>
        <w:r>
          <w:rPr>
            <w:noProof/>
            <w:webHidden/>
          </w:rPr>
          <w:fldChar w:fldCharType="begin"/>
        </w:r>
        <w:r w:rsidR="0052429C">
          <w:rPr>
            <w:noProof/>
            <w:webHidden/>
          </w:rPr>
          <w:instrText xml:space="preserve"> PAGEREF _Toc427675426 \h </w:instrText>
        </w:r>
        <w:r>
          <w:rPr>
            <w:noProof/>
            <w:webHidden/>
          </w:rPr>
        </w:r>
        <w:r>
          <w:rPr>
            <w:noProof/>
            <w:webHidden/>
          </w:rPr>
          <w:fldChar w:fldCharType="separate"/>
        </w:r>
        <w:r w:rsidR="00871648">
          <w:rPr>
            <w:noProof/>
            <w:webHidden/>
          </w:rPr>
          <w:t>50</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7" w:history="1">
        <w:r w:rsidR="0052429C" w:rsidRPr="007D180A">
          <w:rPr>
            <w:rStyle w:val="Hipercze"/>
            <w:rFonts w:ascii="Cambria Math" w:hAnsi="Cambria Math" w:cstheme="minorHAnsi"/>
            <w:noProof/>
          </w:rPr>
          <w:t>Wykres 6. Zmiana średniej powierzchni jednego mieszkania na przestrzeni lat na terenie gminy Strawczyn.</w:t>
        </w:r>
        <w:r w:rsidR="0052429C">
          <w:rPr>
            <w:noProof/>
            <w:webHidden/>
          </w:rPr>
          <w:tab/>
        </w:r>
        <w:r>
          <w:rPr>
            <w:noProof/>
            <w:webHidden/>
          </w:rPr>
          <w:fldChar w:fldCharType="begin"/>
        </w:r>
        <w:r w:rsidR="0052429C">
          <w:rPr>
            <w:noProof/>
            <w:webHidden/>
          </w:rPr>
          <w:instrText xml:space="preserve"> PAGEREF _Toc427675427 \h </w:instrText>
        </w:r>
        <w:r>
          <w:rPr>
            <w:noProof/>
            <w:webHidden/>
          </w:rPr>
        </w:r>
        <w:r>
          <w:rPr>
            <w:noProof/>
            <w:webHidden/>
          </w:rPr>
          <w:fldChar w:fldCharType="separate"/>
        </w:r>
        <w:r w:rsidR="00871648">
          <w:rPr>
            <w:noProof/>
            <w:webHidden/>
          </w:rPr>
          <w:t>51</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8" w:history="1">
        <w:r w:rsidR="0052429C" w:rsidRPr="007D180A">
          <w:rPr>
            <w:rStyle w:val="Hipercze"/>
            <w:rFonts w:ascii="Cambria Math" w:hAnsi="Cambria Math" w:cstheme="minorHAnsi"/>
            <w:noProof/>
          </w:rPr>
          <w:t>Wykres 7. Zmiany średniej powierzchni mieszkań na terenie gminy Strawczyn w latach 2002-2013 wraz z prognozą na lata 2014-2020.</w:t>
        </w:r>
        <w:r w:rsidR="0052429C">
          <w:rPr>
            <w:noProof/>
            <w:webHidden/>
          </w:rPr>
          <w:tab/>
        </w:r>
        <w:r>
          <w:rPr>
            <w:noProof/>
            <w:webHidden/>
          </w:rPr>
          <w:fldChar w:fldCharType="begin"/>
        </w:r>
        <w:r w:rsidR="0052429C">
          <w:rPr>
            <w:noProof/>
            <w:webHidden/>
          </w:rPr>
          <w:instrText xml:space="preserve"> PAGEREF _Toc427675428 \h </w:instrText>
        </w:r>
        <w:r>
          <w:rPr>
            <w:noProof/>
            <w:webHidden/>
          </w:rPr>
        </w:r>
        <w:r>
          <w:rPr>
            <w:noProof/>
            <w:webHidden/>
          </w:rPr>
          <w:fldChar w:fldCharType="separate"/>
        </w:r>
        <w:r w:rsidR="00871648">
          <w:rPr>
            <w:noProof/>
            <w:webHidden/>
          </w:rPr>
          <w:t>51</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29" w:history="1">
        <w:r w:rsidR="0052429C" w:rsidRPr="007D180A">
          <w:rPr>
            <w:rStyle w:val="Hipercze"/>
            <w:rFonts w:ascii="Cambria Math" w:hAnsi="Cambria Math" w:cstheme="minorHAnsi"/>
            <w:noProof/>
          </w:rPr>
          <w:t>Wykres 8. Ogólna powierzchnia mieszkań na terenie gminy Strawczyn.</w:t>
        </w:r>
        <w:r w:rsidR="0052429C">
          <w:rPr>
            <w:noProof/>
            <w:webHidden/>
          </w:rPr>
          <w:tab/>
        </w:r>
        <w:r>
          <w:rPr>
            <w:noProof/>
            <w:webHidden/>
          </w:rPr>
          <w:fldChar w:fldCharType="begin"/>
        </w:r>
        <w:r w:rsidR="0052429C">
          <w:rPr>
            <w:noProof/>
            <w:webHidden/>
          </w:rPr>
          <w:instrText xml:space="preserve"> PAGEREF _Toc427675429 \h </w:instrText>
        </w:r>
        <w:r>
          <w:rPr>
            <w:noProof/>
            <w:webHidden/>
          </w:rPr>
        </w:r>
        <w:r>
          <w:rPr>
            <w:noProof/>
            <w:webHidden/>
          </w:rPr>
          <w:fldChar w:fldCharType="separate"/>
        </w:r>
        <w:r w:rsidR="00871648">
          <w:rPr>
            <w:noProof/>
            <w:webHidden/>
          </w:rPr>
          <w:t>52</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0" w:history="1">
        <w:r w:rsidR="0052429C" w:rsidRPr="007D180A">
          <w:rPr>
            <w:rStyle w:val="Hipercze"/>
            <w:rFonts w:ascii="Cambria Math" w:hAnsi="Cambria Math" w:cstheme="minorHAnsi"/>
            <w:noProof/>
          </w:rPr>
          <w:t>Wykres 9. Zmiany ogólnej powierzchni mieszkań na terenie gminy Strawczyn w latach 2000-2013 wraz z prognozą na lata 2014-2020.</w:t>
        </w:r>
        <w:r w:rsidR="0052429C">
          <w:rPr>
            <w:noProof/>
            <w:webHidden/>
          </w:rPr>
          <w:tab/>
        </w:r>
        <w:r>
          <w:rPr>
            <w:noProof/>
            <w:webHidden/>
          </w:rPr>
          <w:fldChar w:fldCharType="begin"/>
        </w:r>
        <w:r w:rsidR="0052429C">
          <w:rPr>
            <w:noProof/>
            <w:webHidden/>
          </w:rPr>
          <w:instrText xml:space="preserve"> PAGEREF _Toc427675430 \h </w:instrText>
        </w:r>
        <w:r>
          <w:rPr>
            <w:noProof/>
            <w:webHidden/>
          </w:rPr>
        </w:r>
        <w:r>
          <w:rPr>
            <w:noProof/>
            <w:webHidden/>
          </w:rPr>
          <w:fldChar w:fldCharType="separate"/>
        </w:r>
        <w:r w:rsidR="00871648">
          <w:rPr>
            <w:noProof/>
            <w:webHidden/>
          </w:rPr>
          <w:t>52</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1" w:history="1">
        <w:r w:rsidR="0052429C" w:rsidRPr="007D180A">
          <w:rPr>
            <w:rStyle w:val="Hipercze"/>
            <w:rFonts w:ascii="Cambria Math" w:hAnsi="Cambria Math" w:cstheme="minorHAnsi"/>
            <w:noProof/>
          </w:rPr>
          <w:t>Wykres 10. Ilość podmiotów gospodarczych zarejestrowanych na terenie gminy w latach 2009-2013.</w:t>
        </w:r>
        <w:r w:rsidR="0052429C">
          <w:rPr>
            <w:noProof/>
            <w:webHidden/>
          </w:rPr>
          <w:tab/>
        </w:r>
        <w:r>
          <w:rPr>
            <w:noProof/>
            <w:webHidden/>
          </w:rPr>
          <w:fldChar w:fldCharType="begin"/>
        </w:r>
        <w:r w:rsidR="0052429C">
          <w:rPr>
            <w:noProof/>
            <w:webHidden/>
          </w:rPr>
          <w:instrText xml:space="preserve"> PAGEREF _Toc427675431 \h </w:instrText>
        </w:r>
        <w:r>
          <w:rPr>
            <w:noProof/>
            <w:webHidden/>
          </w:rPr>
        </w:r>
        <w:r>
          <w:rPr>
            <w:noProof/>
            <w:webHidden/>
          </w:rPr>
          <w:fldChar w:fldCharType="separate"/>
        </w:r>
        <w:r w:rsidR="00871648">
          <w:rPr>
            <w:noProof/>
            <w:webHidden/>
          </w:rPr>
          <w:t>53</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2" w:history="1">
        <w:r w:rsidR="0052429C" w:rsidRPr="007D180A">
          <w:rPr>
            <w:rStyle w:val="Hipercze"/>
            <w:rFonts w:ascii="Cambria Math" w:hAnsi="Cambria Math"/>
            <w:noProof/>
          </w:rPr>
          <w:t>Wykres 11. Struktura procentowa zarejestrowanych firm wg sekcji PKD w roku 2013.</w:t>
        </w:r>
        <w:r w:rsidR="0052429C">
          <w:rPr>
            <w:noProof/>
            <w:webHidden/>
          </w:rPr>
          <w:tab/>
        </w:r>
        <w:r>
          <w:rPr>
            <w:noProof/>
            <w:webHidden/>
          </w:rPr>
          <w:fldChar w:fldCharType="begin"/>
        </w:r>
        <w:r w:rsidR="0052429C">
          <w:rPr>
            <w:noProof/>
            <w:webHidden/>
          </w:rPr>
          <w:instrText xml:space="preserve"> PAGEREF _Toc427675432 \h </w:instrText>
        </w:r>
        <w:r>
          <w:rPr>
            <w:noProof/>
            <w:webHidden/>
          </w:rPr>
        </w:r>
        <w:r>
          <w:rPr>
            <w:noProof/>
            <w:webHidden/>
          </w:rPr>
          <w:fldChar w:fldCharType="separate"/>
        </w:r>
        <w:r w:rsidR="00871648">
          <w:rPr>
            <w:noProof/>
            <w:webHidden/>
          </w:rPr>
          <w:t>54</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3" w:history="1">
        <w:r w:rsidR="0052429C" w:rsidRPr="007D180A">
          <w:rPr>
            <w:rStyle w:val="Hipercze"/>
            <w:rFonts w:ascii="Cambria Math" w:hAnsi="Cambria Math" w:cstheme="minorHAnsi"/>
            <w:noProof/>
          </w:rPr>
          <w:t>Wykres 12. Prognoza ilości podmiotów gospodarczych zarejestrowanych na terenie gminy do roku 2020.</w:t>
        </w:r>
        <w:r w:rsidR="0052429C">
          <w:rPr>
            <w:noProof/>
            <w:webHidden/>
          </w:rPr>
          <w:tab/>
        </w:r>
        <w:r>
          <w:rPr>
            <w:noProof/>
            <w:webHidden/>
          </w:rPr>
          <w:fldChar w:fldCharType="begin"/>
        </w:r>
        <w:r w:rsidR="0052429C">
          <w:rPr>
            <w:noProof/>
            <w:webHidden/>
          </w:rPr>
          <w:instrText xml:space="preserve"> PAGEREF _Toc427675433 \h </w:instrText>
        </w:r>
        <w:r>
          <w:rPr>
            <w:noProof/>
            <w:webHidden/>
          </w:rPr>
        </w:r>
        <w:r>
          <w:rPr>
            <w:noProof/>
            <w:webHidden/>
          </w:rPr>
          <w:fldChar w:fldCharType="separate"/>
        </w:r>
        <w:r w:rsidR="00871648">
          <w:rPr>
            <w:noProof/>
            <w:webHidden/>
          </w:rPr>
          <w:t>55</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4" w:history="1">
        <w:r w:rsidR="00613944">
          <w:rPr>
            <w:rStyle w:val="Hipercze"/>
            <w:noProof/>
          </w:rPr>
          <w:t>W</w:t>
        </w:r>
        <w:r w:rsidR="0052429C" w:rsidRPr="007D180A">
          <w:rPr>
            <w:rStyle w:val="Hipercze"/>
            <w:noProof/>
          </w:rPr>
          <w:t>ykres 13. Struktura wykorzystania paliw i energii na cele grzewcze w gminie Strawczyn (opracowanie własne na podstawie badania ankietowego oraz danych GUS)</w:t>
        </w:r>
        <w:r w:rsidR="0052429C">
          <w:rPr>
            <w:noProof/>
            <w:webHidden/>
          </w:rPr>
          <w:tab/>
        </w:r>
        <w:r>
          <w:rPr>
            <w:noProof/>
            <w:webHidden/>
          </w:rPr>
          <w:fldChar w:fldCharType="begin"/>
        </w:r>
        <w:r w:rsidR="0052429C">
          <w:rPr>
            <w:noProof/>
            <w:webHidden/>
          </w:rPr>
          <w:instrText xml:space="preserve"> PAGEREF _Toc427675434 \h </w:instrText>
        </w:r>
        <w:r>
          <w:rPr>
            <w:noProof/>
            <w:webHidden/>
          </w:rPr>
        </w:r>
        <w:r>
          <w:rPr>
            <w:noProof/>
            <w:webHidden/>
          </w:rPr>
          <w:fldChar w:fldCharType="separate"/>
        </w:r>
        <w:r w:rsidR="00871648">
          <w:rPr>
            <w:noProof/>
            <w:webHidden/>
          </w:rPr>
          <w:t>56</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5" w:history="1">
        <w:r w:rsidR="00613944">
          <w:rPr>
            <w:rStyle w:val="Hipercze"/>
            <w:noProof/>
          </w:rPr>
          <w:t>W</w:t>
        </w:r>
        <w:r w:rsidR="0052429C" w:rsidRPr="007D180A">
          <w:rPr>
            <w:rStyle w:val="Hipercze"/>
            <w:noProof/>
          </w:rPr>
          <w:t>ykres 14. Struktura zaopatrzenia kraju w gaz ziemny w roku 2013 (źródło: Ministerstwo Gospodarki: Sprawozdanie z wyników monitorowania bezpieczeństwa dostaw paliw gazowych, Warszawa, 2014)</w:t>
        </w:r>
        <w:r w:rsidR="0052429C">
          <w:rPr>
            <w:noProof/>
            <w:webHidden/>
          </w:rPr>
          <w:tab/>
        </w:r>
        <w:r>
          <w:rPr>
            <w:noProof/>
            <w:webHidden/>
          </w:rPr>
          <w:fldChar w:fldCharType="begin"/>
        </w:r>
        <w:r w:rsidR="0052429C">
          <w:rPr>
            <w:noProof/>
            <w:webHidden/>
          </w:rPr>
          <w:instrText xml:space="preserve"> PAGEREF _Toc427675435 \h </w:instrText>
        </w:r>
        <w:r>
          <w:rPr>
            <w:noProof/>
            <w:webHidden/>
          </w:rPr>
        </w:r>
        <w:r>
          <w:rPr>
            <w:noProof/>
            <w:webHidden/>
          </w:rPr>
          <w:fldChar w:fldCharType="separate"/>
        </w:r>
        <w:r w:rsidR="00871648">
          <w:rPr>
            <w:noProof/>
            <w:webHidden/>
          </w:rPr>
          <w:t>60</w:t>
        </w:r>
        <w:r>
          <w:rPr>
            <w:noProof/>
            <w:webHidden/>
          </w:rPr>
          <w:fldChar w:fldCharType="end"/>
        </w:r>
      </w:hyperlink>
    </w:p>
    <w:p w:rsidR="0052429C" w:rsidRDefault="00613944" w:rsidP="00515420">
      <w:pPr>
        <w:pStyle w:val="Spisilustracji"/>
        <w:tabs>
          <w:tab w:val="right" w:leader="dot" w:pos="8777"/>
        </w:tabs>
        <w:spacing w:line="360" w:lineRule="auto"/>
        <w:rPr>
          <w:rFonts w:asciiTheme="minorHAnsi" w:eastAsiaTheme="minorEastAsia" w:hAnsiTheme="minorHAnsi"/>
          <w:noProof/>
          <w:lang w:eastAsia="pl-PL"/>
        </w:rPr>
      </w:pPr>
      <w:r w:rsidRPr="00613944">
        <w:rPr>
          <w:noProof/>
        </w:rPr>
        <w:t>W</w:t>
      </w:r>
      <w:r w:rsidR="0052429C" w:rsidRPr="00613944">
        <w:rPr>
          <w:noProof/>
        </w:rPr>
        <w:t>ykres 15. Struktura mocy zainstalowanej w krajowym</w:t>
      </w:r>
      <w:r>
        <w:rPr>
          <w:noProof/>
        </w:rPr>
        <w:t xml:space="preserve"> systemie elektroenergetycznym W</w:t>
      </w:r>
      <w:r w:rsidR="0052429C" w:rsidRPr="00613944">
        <w:rPr>
          <w:noProof/>
        </w:rPr>
        <w:t>edług stanu na dzień 31.12.2013 roku (źródło: http://www.pse.pl/index.php?dzid=77)</w:t>
      </w:r>
      <w:r w:rsidR="0052429C">
        <w:rPr>
          <w:noProof/>
          <w:webHidden/>
        </w:rPr>
        <w:tab/>
      </w:r>
      <w:r w:rsidR="00A93FFF">
        <w:rPr>
          <w:noProof/>
          <w:webHidden/>
        </w:rPr>
        <w:fldChar w:fldCharType="begin"/>
      </w:r>
      <w:r w:rsidR="0052429C">
        <w:rPr>
          <w:noProof/>
          <w:webHidden/>
        </w:rPr>
        <w:instrText xml:space="preserve"> PAGEREF _Toc427675436 \h </w:instrText>
      </w:r>
      <w:r w:rsidR="00A93FFF">
        <w:rPr>
          <w:noProof/>
          <w:webHidden/>
        </w:rPr>
      </w:r>
      <w:r w:rsidR="00A93FFF">
        <w:rPr>
          <w:noProof/>
          <w:webHidden/>
        </w:rPr>
        <w:fldChar w:fldCharType="separate"/>
      </w:r>
      <w:r w:rsidR="00871648">
        <w:rPr>
          <w:noProof/>
          <w:webHidden/>
        </w:rPr>
        <w:t>64</w:t>
      </w:r>
      <w:r w:rsidR="00A93FFF">
        <w:rPr>
          <w:noProof/>
          <w:webHidden/>
        </w:rPr>
        <w:fldChar w:fldCharType="end"/>
      </w:r>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7" w:history="1">
        <w:r w:rsidR="00613944">
          <w:rPr>
            <w:rStyle w:val="Hipercze"/>
            <w:noProof/>
          </w:rPr>
          <w:t>W</w:t>
        </w:r>
        <w:r w:rsidR="0052429C" w:rsidRPr="007D180A">
          <w:rPr>
            <w:rStyle w:val="Hipercze"/>
            <w:noProof/>
          </w:rPr>
          <w:t>ykres 16. Prognozowane zapotrzebowanie na energię elektryczną na lata 2015-2025</w:t>
        </w:r>
        <w:r w:rsidR="0052429C">
          <w:rPr>
            <w:noProof/>
            <w:webHidden/>
          </w:rPr>
          <w:tab/>
        </w:r>
        <w:r>
          <w:rPr>
            <w:noProof/>
            <w:webHidden/>
          </w:rPr>
          <w:fldChar w:fldCharType="begin"/>
        </w:r>
        <w:r w:rsidR="0052429C">
          <w:rPr>
            <w:noProof/>
            <w:webHidden/>
          </w:rPr>
          <w:instrText xml:space="preserve"> PAGEREF _Toc427675437 \h </w:instrText>
        </w:r>
        <w:r>
          <w:rPr>
            <w:noProof/>
            <w:webHidden/>
          </w:rPr>
        </w:r>
        <w:r>
          <w:rPr>
            <w:noProof/>
            <w:webHidden/>
          </w:rPr>
          <w:fldChar w:fldCharType="separate"/>
        </w:r>
        <w:r w:rsidR="00871648">
          <w:rPr>
            <w:noProof/>
            <w:webHidden/>
          </w:rPr>
          <w:t>66</w:t>
        </w:r>
        <w:r>
          <w:rPr>
            <w:noProof/>
            <w:webHidden/>
          </w:rPr>
          <w:fldChar w:fldCharType="end"/>
        </w:r>
      </w:hyperlink>
    </w:p>
    <w:p w:rsidR="0052429C" w:rsidRDefault="00A93FFF" w:rsidP="00515420">
      <w:pPr>
        <w:pStyle w:val="Spisilustracji"/>
        <w:tabs>
          <w:tab w:val="right" w:leader="dot" w:pos="8777"/>
        </w:tabs>
        <w:spacing w:line="360" w:lineRule="auto"/>
        <w:rPr>
          <w:rFonts w:asciiTheme="minorHAnsi" w:eastAsiaTheme="minorEastAsia" w:hAnsiTheme="minorHAnsi"/>
          <w:noProof/>
          <w:lang w:eastAsia="pl-PL"/>
        </w:rPr>
      </w:pPr>
      <w:hyperlink w:anchor="_Toc427675438" w:history="1">
        <w:r w:rsidR="00613944">
          <w:rPr>
            <w:rStyle w:val="Hipercze"/>
            <w:noProof/>
          </w:rPr>
          <w:t>W</w:t>
        </w:r>
        <w:r w:rsidR="0052429C" w:rsidRPr="007D180A">
          <w:rPr>
            <w:rStyle w:val="Hipercze"/>
            <w:noProof/>
          </w:rPr>
          <w:t>ykres 17.Prognoza cen paliw w imporcie do Polski (ceny stałe w USD roku 2009)</w:t>
        </w:r>
        <w:r w:rsidR="0052429C">
          <w:rPr>
            <w:noProof/>
            <w:webHidden/>
          </w:rPr>
          <w:tab/>
        </w:r>
        <w:r>
          <w:rPr>
            <w:noProof/>
            <w:webHidden/>
          </w:rPr>
          <w:fldChar w:fldCharType="begin"/>
        </w:r>
        <w:r w:rsidR="0052429C">
          <w:rPr>
            <w:noProof/>
            <w:webHidden/>
          </w:rPr>
          <w:instrText xml:space="preserve"> PAGEREF _Toc427675438 \h </w:instrText>
        </w:r>
        <w:r>
          <w:rPr>
            <w:noProof/>
            <w:webHidden/>
          </w:rPr>
        </w:r>
        <w:r>
          <w:rPr>
            <w:noProof/>
            <w:webHidden/>
          </w:rPr>
          <w:fldChar w:fldCharType="separate"/>
        </w:r>
        <w:r w:rsidR="00871648">
          <w:rPr>
            <w:noProof/>
            <w:webHidden/>
          </w:rPr>
          <w:t>71</w:t>
        </w:r>
        <w:r>
          <w:rPr>
            <w:noProof/>
            <w:webHidden/>
          </w:rPr>
          <w:fldChar w:fldCharType="end"/>
        </w:r>
      </w:hyperlink>
    </w:p>
    <w:p w:rsidR="00515420" w:rsidRDefault="00A93FFF" w:rsidP="00515420">
      <w:pPr>
        <w:pStyle w:val="Nagwek1"/>
        <w:numPr>
          <w:ilvl w:val="0"/>
          <w:numId w:val="0"/>
        </w:numPr>
        <w:spacing w:line="360" w:lineRule="auto"/>
        <w:ind w:left="432" w:hanging="432"/>
      </w:pPr>
      <w:r>
        <w:fldChar w:fldCharType="end"/>
      </w:r>
      <w:bookmarkStart w:id="5" w:name="_Toc427675545"/>
      <w:bookmarkStart w:id="6" w:name="_Toc427734944"/>
      <w:r w:rsidR="00515420">
        <w:t>SPIS RYSUNKÓW</w:t>
      </w:r>
      <w:bookmarkEnd w:id="5"/>
      <w:bookmarkEnd w:id="6"/>
    </w:p>
    <w:p w:rsidR="00515420" w:rsidRDefault="00A93FFF" w:rsidP="00515420">
      <w:pPr>
        <w:pStyle w:val="Spisilustracji"/>
        <w:tabs>
          <w:tab w:val="right" w:leader="dot" w:pos="8777"/>
        </w:tabs>
        <w:spacing w:line="360" w:lineRule="auto"/>
        <w:rPr>
          <w:noProof/>
        </w:rPr>
      </w:pPr>
      <w:r>
        <w:fldChar w:fldCharType="begin"/>
      </w:r>
      <w:r w:rsidR="00515420">
        <w:instrText xml:space="preserve"> TOC \h \z \c "Rysunek" </w:instrText>
      </w:r>
      <w:r>
        <w:fldChar w:fldCharType="separate"/>
      </w:r>
      <w:r w:rsidR="00515420" w:rsidRPr="00613944">
        <w:rPr>
          <w:noProof/>
        </w:rPr>
        <w:t>Rysunek    1. Schemat działania sprężarkowych pomp ciepła (źródło: www.muratorplus.pl)</w:t>
      </w:r>
      <w:r w:rsidR="00515420">
        <w:rPr>
          <w:noProof/>
          <w:webHidden/>
        </w:rPr>
        <w:tab/>
      </w:r>
      <w:r>
        <w:rPr>
          <w:noProof/>
          <w:webHidden/>
        </w:rPr>
        <w:fldChar w:fldCharType="begin"/>
      </w:r>
      <w:r w:rsidR="00515420">
        <w:rPr>
          <w:noProof/>
          <w:webHidden/>
        </w:rPr>
        <w:instrText xml:space="preserve"> PAGEREF _Toc427675205 \h </w:instrText>
      </w:r>
      <w:r>
        <w:rPr>
          <w:noProof/>
          <w:webHidden/>
        </w:rPr>
      </w:r>
      <w:r>
        <w:rPr>
          <w:noProof/>
          <w:webHidden/>
        </w:rPr>
        <w:fldChar w:fldCharType="separate"/>
      </w:r>
      <w:r w:rsidR="00871648">
        <w:rPr>
          <w:noProof/>
          <w:webHidden/>
        </w:rPr>
        <w:t>86</w:t>
      </w:r>
      <w:r>
        <w:rPr>
          <w:noProof/>
          <w:webHidden/>
        </w:rPr>
        <w:fldChar w:fldCharType="end"/>
      </w:r>
    </w:p>
    <w:p w:rsidR="00515420" w:rsidRDefault="00515420" w:rsidP="00515420">
      <w:pPr>
        <w:pStyle w:val="Spisilustracji"/>
        <w:tabs>
          <w:tab w:val="right" w:leader="dot" w:pos="8777"/>
        </w:tabs>
        <w:spacing w:line="360" w:lineRule="auto"/>
        <w:rPr>
          <w:noProof/>
        </w:rPr>
      </w:pPr>
      <w:r w:rsidRPr="00613944">
        <w:rPr>
          <w:noProof/>
        </w:rPr>
        <w:t xml:space="preserve">Rysunek </w:t>
      </w:r>
      <w:r>
        <w:rPr>
          <w:noProof/>
        </w:rPr>
        <w:t>2.</w:t>
      </w:r>
      <w:r w:rsidRPr="00613944">
        <w:rPr>
          <w:noProof/>
        </w:rPr>
        <w:t>Parametry techniczne mikroturbiny wiatrowej (http://generatory-wiatrowe.pl/?page_id=21)</w:t>
      </w:r>
      <w:r>
        <w:rPr>
          <w:noProof/>
          <w:webHidden/>
        </w:rPr>
        <w:tab/>
      </w:r>
      <w:r w:rsidR="00A93FFF">
        <w:rPr>
          <w:noProof/>
          <w:webHidden/>
        </w:rPr>
        <w:fldChar w:fldCharType="begin"/>
      </w:r>
      <w:r>
        <w:rPr>
          <w:noProof/>
          <w:webHidden/>
        </w:rPr>
        <w:instrText xml:space="preserve"> PAGEREF _Toc427675206 \h </w:instrText>
      </w:r>
      <w:r w:rsidR="00A93FFF">
        <w:rPr>
          <w:noProof/>
          <w:webHidden/>
        </w:rPr>
      </w:r>
      <w:r w:rsidR="00A93FFF">
        <w:rPr>
          <w:noProof/>
          <w:webHidden/>
        </w:rPr>
        <w:fldChar w:fldCharType="separate"/>
      </w:r>
      <w:r w:rsidR="00871648">
        <w:rPr>
          <w:noProof/>
          <w:webHidden/>
        </w:rPr>
        <w:t>90</w:t>
      </w:r>
      <w:r w:rsidR="00A93FFF">
        <w:rPr>
          <w:noProof/>
          <w:webHidden/>
        </w:rPr>
        <w:fldChar w:fldCharType="end"/>
      </w:r>
    </w:p>
    <w:p w:rsidR="0052429C" w:rsidRDefault="00A93FFF" w:rsidP="00515420">
      <w:pPr>
        <w:spacing w:line="360" w:lineRule="auto"/>
      </w:pPr>
      <w:r>
        <w:fldChar w:fldCharType="end"/>
      </w:r>
    </w:p>
    <w:p w:rsidR="00575A56" w:rsidRDefault="00575A56" w:rsidP="0052429C">
      <w:pPr>
        <w:spacing w:line="360" w:lineRule="auto"/>
      </w:pPr>
    </w:p>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6C31EB" w:rsidRDefault="006C31EB"/>
    <w:p w:rsidR="006C31EB" w:rsidRDefault="006C31EB"/>
    <w:p w:rsidR="006C31EB" w:rsidRDefault="006C31EB"/>
    <w:p w:rsidR="00575A56" w:rsidRDefault="00575A56"/>
    <w:p w:rsidR="00575A56" w:rsidRPr="00163FBA" w:rsidRDefault="00575A56" w:rsidP="00163FBA">
      <w:pPr>
        <w:pStyle w:val="Nagwek1"/>
      </w:pPr>
      <w:bookmarkStart w:id="7" w:name="_Toc422834378"/>
      <w:bookmarkStart w:id="8" w:name="_Toc427566505"/>
      <w:bookmarkStart w:id="9" w:name="_Toc427675548"/>
      <w:bookmarkStart w:id="10" w:name="_Toc427734948"/>
      <w:r w:rsidRPr="00163FBA">
        <w:lastRenderedPageBreak/>
        <w:t>Wykaz jednostek wykorzystywanych w opracowaniu</w:t>
      </w:r>
      <w:bookmarkEnd w:id="7"/>
      <w:bookmarkEnd w:id="8"/>
      <w:bookmarkEnd w:id="9"/>
      <w:bookmarkEnd w:id="10"/>
    </w:p>
    <w:tbl>
      <w:tblPr>
        <w:tblStyle w:val="Jasnalistaakcent5"/>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19"/>
        <w:gridCol w:w="5919"/>
      </w:tblGrid>
      <w:tr w:rsidR="00575A56" w:rsidRPr="00575A56" w:rsidTr="00515420">
        <w:trPr>
          <w:cnfStyle w:val="100000000000"/>
          <w:trHeight w:val="285"/>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Jednostka, symbol</w:t>
            </w:r>
          </w:p>
        </w:tc>
        <w:tc>
          <w:tcPr>
            <w:tcW w:w="5919" w:type="dxa"/>
            <w:noWrap/>
            <w:hideMark/>
          </w:tcPr>
          <w:p w:rsidR="00575A56" w:rsidRPr="00575A56" w:rsidRDefault="00575A56" w:rsidP="00575A56">
            <w:pPr>
              <w:jc w:val="center"/>
              <w:cnfStyle w:val="100000000000"/>
              <w:rPr>
                <w:sz w:val="24"/>
                <w:szCs w:val="24"/>
                <w:lang w:eastAsia="pl-PL"/>
              </w:rPr>
            </w:pPr>
            <w:r w:rsidRPr="00575A56">
              <w:rPr>
                <w:sz w:val="24"/>
                <w:szCs w:val="24"/>
                <w:lang w:eastAsia="pl-PL"/>
              </w:rPr>
              <w:t>Opis jednostki</w:t>
            </w:r>
          </w:p>
        </w:tc>
      </w:tr>
      <w:tr w:rsidR="00575A56" w:rsidRPr="00575A56" w:rsidTr="00515420">
        <w:trPr>
          <w:cnfStyle w:val="000000100000"/>
          <w:trHeight w:val="61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metr [m], kilometr [km]</w:t>
            </w:r>
          </w:p>
        </w:tc>
        <w:tc>
          <w:tcPr>
            <w:tcW w:w="5919" w:type="dxa"/>
          </w:tcPr>
          <w:p w:rsidR="00575A56" w:rsidRPr="00575A56" w:rsidRDefault="00575A56" w:rsidP="00575A56">
            <w:pPr>
              <w:jc w:val="center"/>
              <w:cnfStyle w:val="000000100000"/>
              <w:rPr>
                <w:sz w:val="24"/>
                <w:szCs w:val="24"/>
                <w:lang w:eastAsia="pl-PL"/>
              </w:rPr>
            </w:pPr>
            <w:r w:rsidRPr="00575A56">
              <w:rPr>
                <w:sz w:val="24"/>
                <w:szCs w:val="24"/>
                <w:lang w:eastAsia="pl-PL"/>
              </w:rPr>
              <w:t>jednostki długości</w:t>
            </w:r>
          </w:p>
        </w:tc>
      </w:tr>
      <w:tr w:rsidR="00575A56" w:rsidRPr="00575A56" w:rsidTr="00515420">
        <w:trPr>
          <w:trHeight w:val="61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metr kwadratowy [m</w:t>
            </w:r>
            <w:r w:rsidRPr="00575A56">
              <w:rPr>
                <w:sz w:val="24"/>
                <w:szCs w:val="24"/>
                <w:vertAlign w:val="superscript"/>
                <w:lang w:eastAsia="pl-PL"/>
              </w:rPr>
              <w:t>2</w:t>
            </w:r>
            <w:r w:rsidRPr="00575A56">
              <w:rPr>
                <w:sz w:val="24"/>
                <w:szCs w:val="24"/>
                <w:lang w:eastAsia="pl-PL"/>
              </w:rPr>
              <w:t>], kilometr kwadratowy [km</w:t>
            </w:r>
            <w:r w:rsidRPr="00575A56">
              <w:rPr>
                <w:sz w:val="24"/>
                <w:szCs w:val="24"/>
                <w:vertAlign w:val="superscript"/>
                <w:lang w:eastAsia="pl-PL"/>
              </w:rPr>
              <w:t>2</w:t>
            </w:r>
            <w:r w:rsidRPr="00575A56">
              <w:rPr>
                <w:sz w:val="24"/>
                <w:szCs w:val="24"/>
                <w:lang w:eastAsia="pl-PL"/>
              </w:rPr>
              <w:t>]</w:t>
            </w:r>
          </w:p>
        </w:tc>
        <w:tc>
          <w:tcPr>
            <w:tcW w:w="5919" w:type="dxa"/>
          </w:tcPr>
          <w:p w:rsidR="00575A56" w:rsidRPr="00575A56" w:rsidRDefault="00575A56" w:rsidP="00575A56">
            <w:pPr>
              <w:jc w:val="center"/>
              <w:cnfStyle w:val="000000000000"/>
              <w:rPr>
                <w:sz w:val="24"/>
                <w:szCs w:val="24"/>
                <w:lang w:eastAsia="pl-PL"/>
              </w:rPr>
            </w:pPr>
            <w:r w:rsidRPr="00575A56">
              <w:rPr>
                <w:sz w:val="24"/>
                <w:szCs w:val="24"/>
                <w:lang w:eastAsia="pl-PL"/>
              </w:rPr>
              <w:t>jednostki pola powierzchni</w:t>
            </w:r>
          </w:p>
        </w:tc>
      </w:tr>
      <w:tr w:rsidR="00575A56" w:rsidRPr="00575A56" w:rsidTr="00515420">
        <w:trPr>
          <w:cnfStyle w:val="000000100000"/>
          <w:trHeight w:val="61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metr sześcienny [m</w:t>
            </w:r>
            <w:r w:rsidRPr="00575A56">
              <w:rPr>
                <w:sz w:val="24"/>
                <w:szCs w:val="24"/>
                <w:vertAlign w:val="superscript"/>
                <w:lang w:eastAsia="pl-PL"/>
              </w:rPr>
              <w:t>3</w:t>
            </w:r>
            <w:r w:rsidRPr="00575A56">
              <w:rPr>
                <w:sz w:val="24"/>
                <w:szCs w:val="24"/>
                <w:lang w:eastAsia="pl-PL"/>
              </w:rPr>
              <w:t>]</w:t>
            </w:r>
          </w:p>
        </w:tc>
        <w:tc>
          <w:tcPr>
            <w:tcW w:w="5919" w:type="dxa"/>
          </w:tcPr>
          <w:p w:rsidR="00575A56" w:rsidRPr="00575A56" w:rsidRDefault="00575A56" w:rsidP="00575A56">
            <w:pPr>
              <w:jc w:val="center"/>
              <w:cnfStyle w:val="000000100000"/>
              <w:rPr>
                <w:sz w:val="24"/>
                <w:szCs w:val="24"/>
                <w:lang w:eastAsia="pl-PL"/>
              </w:rPr>
            </w:pPr>
            <w:r w:rsidRPr="00575A56">
              <w:rPr>
                <w:sz w:val="24"/>
                <w:szCs w:val="24"/>
                <w:lang w:eastAsia="pl-PL"/>
              </w:rPr>
              <w:t>pochodna jednostka objętości w układzie SI</w:t>
            </w:r>
          </w:p>
        </w:tc>
      </w:tr>
      <w:tr w:rsidR="00575A56" w:rsidRPr="00575A56" w:rsidTr="00515420">
        <w:trPr>
          <w:trHeight w:val="61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metry sześcienne/godzin [m</w:t>
            </w:r>
            <w:r w:rsidRPr="00575A56">
              <w:rPr>
                <w:sz w:val="24"/>
                <w:szCs w:val="24"/>
                <w:vertAlign w:val="superscript"/>
                <w:lang w:eastAsia="pl-PL"/>
              </w:rPr>
              <w:t>3</w:t>
            </w:r>
            <w:r w:rsidRPr="00575A56">
              <w:rPr>
                <w:sz w:val="24"/>
                <w:szCs w:val="24"/>
                <w:lang w:eastAsia="pl-PL"/>
              </w:rPr>
              <w:t>/h]</w:t>
            </w:r>
          </w:p>
        </w:tc>
        <w:tc>
          <w:tcPr>
            <w:tcW w:w="5919" w:type="dxa"/>
          </w:tcPr>
          <w:p w:rsidR="00575A56" w:rsidRPr="00575A56" w:rsidRDefault="00575A56" w:rsidP="00575A56">
            <w:pPr>
              <w:jc w:val="center"/>
              <w:cnfStyle w:val="000000000000"/>
              <w:rPr>
                <w:sz w:val="24"/>
                <w:szCs w:val="24"/>
                <w:lang w:eastAsia="pl-PL"/>
              </w:rPr>
            </w:pPr>
            <w:r w:rsidRPr="00575A56">
              <w:rPr>
                <w:sz w:val="24"/>
                <w:szCs w:val="24"/>
                <w:lang w:eastAsia="pl-PL"/>
              </w:rPr>
              <w:t>jednostka przepływu objętości</w:t>
            </w:r>
          </w:p>
        </w:tc>
      </w:tr>
      <w:tr w:rsidR="00575A56" w:rsidRPr="00575A56" w:rsidTr="00515420">
        <w:trPr>
          <w:cnfStyle w:val="000000100000"/>
          <w:trHeight w:val="615"/>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bar [b]</w:t>
            </w:r>
          </w:p>
        </w:tc>
        <w:tc>
          <w:tcPr>
            <w:tcW w:w="5919" w:type="dxa"/>
            <w:hideMark/>
          </w:tcPr>
          <w:p w:rsidR="00575A56" w:rsidRPr="00575A56" w:rsidRDefault="00575A56" w:rsidP="00575A56">
            <w:pPr>
              <w:jc w:val="center"/>
              <w:cnfStyle w:val="000000100000"/>
              <w:rPr>
                <w:sz w:val="24"/>
                <w:szCs w:val="24"/>
                <w:lang w:eastAsia="pl-PL"/>
              </w:rPr>
            </w:pPr>
            <w:r w:rsidRPr="00575A56">
              <w:rPr>
                <w:sz w:val="24"/>
                <w:szCs w:val="24"/>
                <w:lang w:eastAsia="pl-PL"/>
              </w:rPr>
              <w:t>jednostka miary ciśnienia w układzie jednostek CGS określona jako 10</w:t>
            </w:r>
            <w:r w:rsidRPr="00575A56">
              <w:rPr>
                <w:sz w:val="24"/>
                <w:szCs w:val="24"/>
                <w:vertAlign w:val="superscript"/>
                <w:lang w:eastAsia="pl-PL"/>
              </w:rPr>
              <w:t>6</w:t>
            </w:r>
            <w:r w:rsidRPr="00575A56">
              <w:rPr>
                <w:sz w:val="24"/>
                <w:szCs w:val="24"/>
                <w:lang w:eastAsia="pl-PL"/>
              </w:rPr>
              <w:t> dyn/cm</w:t>
            </w:r>
            <w:r w:rsidRPr="00575A56">
              <w:rPr>
                <w:sz w:val="24"/>
                <w:szCs w:val="24"/>
                <w:vertAlign w:val="superscript"/>
                <w:lang w:eastAsia="pl-PL"/>
              </w:rPr>
              <w:t>2</w:t>
            </w:r>
            <w:r w:rsidRPr="00575A56">
              <w:rPr>
                <w:sz w:val="24"/>
                <w:szCs w:val="24"/>
                <w:lang w:eastAsia="pl-PL"/>
              </w:rPr>
              <w:t> = 10</w:t>
            </w:r>
            <w:r w:rsidRPr="00575A56">
              <w:rPr>
                <w:sz w:val="24"/>
                <w:szCs w:val="24"/>
                <w:vertAlign w:val="superscript"/>
                <w:lang w:eastAsia="pl-PL"/>
              </w:rPr>
              <w:t>6</w:t>
            </w:r>
            <w:r w:rsidRPr="00575A56">
              <w:rPr>
                <w:sz w:val="24"/>
                <w:szCs w:val="24"/>
                <w:lang w:eastAsia="pl-PL"/>
              </w:rPr>
              <w:t> b</w:t>
            </w:r>
          </w:p>
        </w:tc>
      </w:tr>
      <w:tr w:rsidR="00575A56" w:rsidRPr="00575A56" w:rsidTr="00515420">
        <w:trPr>
          <w:trHeight w:val="285"/>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wat [W]</w:t>
            </w:r>
          </w:p>
        </w:tc>
        <w:tc>
          <w:tcPr>
            <w:tcW w:w="5919" w:type="dxa"/>
            <w:noWrap/>
            <w:hideMark/>
          </w:tcPr>
          <w:p w:rsidR="00575A56" w:rsidRPr="00575A56" w:rsidRDefault="00575A56" w:rsidP="00575A56">
            <w:pPr>
              <w:jc w:val="center"/>
              <w:cnfStyle w:val="000000000000"/>
              <w:rPr>
                <w:sz w:val="24"/>
                <w:szCs w:val="24"/>
                <w:lang w:eastAsia="pl-PL"/>
              </w:rPr>
            </w:pPr>
            <w:r w:rsidRPr="00575A56">
              <w:rPr>
                <w:sz w:val="24"/>
                <w:szCs w:val="24"/>
                <w:lang w:eastAsia="pl-PL"/>
              </w:rPr>
              <w:t>jednostka mocy lub strumienia energii w układzie SI</w:t>
            </w:r>
          </w:p>
        </w:tc>
      </w:tr>
      <w:tr w:rsidR="00575A56" w:rsidRPr="00575A56" w:rsidTr="00515420">
        <w:trPr>
          <w:cnfStyle w:val="000000100000"/>
          <w:trHeight w:val="570"/>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megawat mocy cieplnej [</w:t>
            </w:r>
            <w:proofErr w:type="spellStart"/>
            <w:r w:rsidRPr="00575A56">
              <w:rPr>
                <w:sz w:val="24"/>
                <w:szCs w:val="24"/>
                <w:lang w:eastAsia="pl-PL"/>
              </w:rPr>
              <w:t>MW</w:t>
            </w:r>
            <w:r w:rsidRPr="00575A56">
              <w:rPr>
                <w:sz w:val="24"/>
                <w:szCs w:val="24"/>
                <w:vertAlign w:val="subscript"/>
                <w:lang w:eastAsia="pl-PL"/>
              </w:rPr>
              <w:t>t</w:t>
            </w:r>
            <w:proofErr w:type="spellEnd"/>
            <w:r w:rsidRPr="00575A56">
              <w:rPr>
                <w:sz w:val="24"/>
                <w:szCs w:val="24"/>
                <w:lang w:eastAsia="pl-PL"/>
              </w:rPr>
              <w:t>]</w:t>
            </w:r>
          </w:p>
        </w:tc>
        <w:tc>
          <w:tcPr>
            <w:tcW w:w="5919" w:type="dxa"/>
            <w:hideMark/>
          </w:tcPr>
          <w:p w:rsidR="00575A56" w:rsidRPr="00575A56" w:rsidRDefault="00575A56" w:rsidP="00575A56">
            <w:pPr>
              <w:jc w:val="center"/>
              <w:cnfStyle w:val="000000100000"/>
              <w:rPr>
                <w:sz w:val="24"/>
                <w:szCs w:val="24"/>
                <w:lang w:eastAsia="pl-PL"/>
              </w:rPr>
            </w:pPr>
            <w:r w:rsidRPr="00575A56">
              <w:rPr>
                <w:sz w:val="24"/>
                <w:szCs w:val="24"/>
                <w:lang w:eastAsia="pl-PL"/>
              </w:rPr>
              <w:t>jednostka mocy wyróżniająca moc cieplną (energetyka)</w:t>
            </w:r>
          </w:p>
        </w:tc>
      </w:tr>
      <w:tr w:rsidR="00575A56" w:rsidRPr="00575A56" w:rsidTr="00515420">
        <w:trPr>
          <w:trHeight w:val="570"/>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megawat mocy elektrycznej [</w:t>
            </w:r>
            <w:proofErr w:type="spellStart"/>
            <w:r w:rsidRPr="00575A56">
              <w:rPr>
                <w:sz w:val="24"/>
                <w:szCs w:val="24"/>
                <w:lang w:eastAsia="pl-PL"/>
              </w:rPr>
              <w:t>MW</w:t>
            </w:r>
            <w:r w:rsidRPr="00575A56">
              <w:rPr>
                <w:sz w:val="24"/>
                <w:szCs w:val="24"/>
                <w:vertAlign w:val="subscript"/>
                <w:lang w:eastAsia="pl-PL"/>
              </w:rPr>
              <w:t>e</w:t>
            </w:r>
            <w:proofErr w:type="spellEnd"/>
            <w:r w:rsidRPr="00575A56">
              <w:rPr>
                <w:sz w:val="24"/>
                <w:szCs w:val="24"/>
                <w:lang w:eastAsia="pl-PL"/>
              </w:rPr>
              <w:t>]</w:t>
            </w:r>
          </w:p>
        </w:tc>
        <w:tc>
          <w:tcPr>
            <w:tcW w:w="5919" w:type="dxa"/>
          </w:tcPr>
          <w:p w:rsidR="00575A56" w:rsidRPr="00575A56" w:rsidRDefault="00575A56" w:rsidP="00575A56">
            <w:pPr>
              <w:jc w:val="center"/>
              <w:cnfStyle w:val="000000000000"/>
              <w:rPr>
                <w:sz w:val="24"/>
                <w:szCs w:val="24"/>
                <w:lang w:eastAsia="pl-PL"/>
              </w:rPr>
            </w:pPr>
            <w:r w:rsidRPr="00575A56">
              <w:rPr>
                <w:sz w:val="24"/>
                <w:szCs w:val="24"/>
                <w:lang w:eastAsia="pl-PL"/>
              </w:rPr>
              <w:t>jednostka mocy wyróżniająca moc elektryczną (energetyka)</w:t>
            </w:r>
          </w:p>
        </w:tc>
      </w:tr>
      <w:tr w:rsidR="00575A56" w:rsidRPr="00575A56" w:rsidTr="00515420">
        <w:trPr>
          <w:cnfStyle w:val="000000100000"/>
          <w:trHeight w:val="285"/>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megawat [MW]</w:t>
            </w:r>
          </w:p>
        </w:tc>
        <w:tc>
          <w:tcPr>
            <w:tcW w:w="5919" w:type="dxa"/>
            <w:hideMark/>
          </w:tcPr>
          <w:p w:rsidR="00575A56" w:rsidRPr="00575A56" w:rsidRDefault="00575A56" w:rsidP="00575A56">
            <w:pPr>
              <w:jc w:val="center"/>
              <w:cnfStyle w:val="000000100000"/>
              <w:rPr>
                <w:sz w:val="24"/>
                <w:szCs w:val="24"/>
                <w:lang w:eastAsia="pl-PL"/>
              </w:rPr>
            </w:pPr>
            <w:r w:rsidRPr="00575A56">
              <w:rPr>
                <w:sz w:val="24"/>
                <w:szCs w:val="24"/>
                <w:lang w:eastAsia="pl-PL"/>
              </w:rPr>
              <w:t>jednostka mocy elektrycznej i mechanicznej równa milion watów</w:t>
            </w:r>
          </w:p>
        </w:tc>
      </w:tr>
      <w:tr w:rsidR="00575A56" w:rsidRPr="00575A56" w:rsidTr="00515420">
        <w:trPr>
          <w:trHeight w:val="285"/>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kilowat [</w:t>
            </w:r>
            <w:proofErr w:type="spellStart"/>
            <w:r w:rsidRPr="00575A56">
              <w:rPr>
                <w:sz w:val="24"/>
                <w:szCs w:val="24"/>
                <w:lang w:eastAsia="pl-PL"/>
              </w:rPr>
              <w:t>kW</w:t>
            </w:r>
            <w:proofErr w:type="spellEnd"/>
            <w:r w:rsidRPr="00575A56">
              <w:rPr>
                <w:sz w:val="24"/>
                <w:szCs w:val="24"/>
                <w:lang w:eastAsia="pl-PL"/>
              </w:rPr>
              <w:t>]</w:t>
            </w:r>
          </w:p>
        </w:tc>
        <w:tc>
          <w:tcPr>
            <w:tcW w:w="5919" w:type="dxa"/>
            <w:noWrap/>
            <w:hideMark/>
          </w:tcPr>
          <w:p w:rsidR="00575A56" w:rsidRPr="00575A56" w:rsidRDefault="00575A56" w:rsidP="00575A56">
            <w:pPr>
              <w:jc w:val="center"/>
              <w:cnfStyle w:val="000000000000"/>
              <w:rPr>
                <w:sz w:val="24"/>
                <w:szCs w:val="24"/>
                <w:lang w:eastAsia="pl-PL"/>
              </w:rPr>
            </w:pPr>
            <w:r w:rsidRPr="00575A56">
              <w:rPr>
                <w:sz w:val="24"/>
                <w:szCs w:val="24"/>
                <w:lang w:eastAsia="pl-PL"/>
              </w:rPr>
              <w:t>jednostka mocy elektrycznej i mechanicznej równa tysiąc watów</w:t>
            </w:r>
          </w:p>
        </w:tc>
      </w:tr>
      <w:tr w:rsidR="00575A56" w:rsidRPr="00575A56" w:rsidTr="00515420">
        <w:trPr>
          <w:cnfStyle w:val="000000100000"/>
          <w:trHeight w:val="855"/>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megawatogodzina [</w:t>
            </w:r>
            <w:proofErr w:type="spellStart"/>
            <w:r w:rsidRPr="00575A56">
              <w:rPr>
                <w:sz w:val="24"/>
                <w:szCs w:val="24"/>
                <w:lang w:eastAsia="pl-PL"/>
              </w:rPr>
              <w:t>MWh</w:t>
            </w:r>
            <w:proofErr w:type="spellEnd"/>
            <w:r w:rsidRPr="00575A56">
              <w:rPr>
                <w:sz w:val="24"/>
                <w:szCs w:val="24"/>
                <w:lang w:eastAsia="pl-PL"/>
              </w:rPr>
              <w:t>]</w:t>
            </w:r>
          </w:p>
        </w:tc>
        <w:tc>
          <w:tcPr>
            <w:tcW w:w="5919" w:type="dxa"/>
            <w:hideMark/>
          </w:tcPr>
          <w:p w:rsidR="00575A56" w:rsidRPr="00575A56" w:rsidRDefault="00575A56" w:rsidP="00575A56">
            <w:pPr>
              <w:jc w:val="center"/>
              <w:cnfStyle w:val="000000100000"/>
              <w:rPr>
                <w:sz w:val="24"/>
                <w:szCs w:val="24"/>
                <w:lang w:eastAsia="pl-PL"/>
              </w:rPr>
            </w:pPr>
            <w:r w:rsidRPr="00575A56">
              <w:rPr>
                <w:sz w:val="24"/>
                <w:szCs w:val="24"/>
                <w:lang w:eastAsia="pl-PL"/>
              </w:rPr>
              <w:t>jednostka pracy, energii oraz ciepła. 1 </w:t>
            </w:r>
            <w:proofErr w:type="spellStart"/>
            <w:r w:rsidRPr="00575A56">
              <w:rPr>
                <w:sz w:val="24"/>
                <w:szCs w:val="24"/>
                <w:lang w:eastAsia="pl-PL"/>
              </w:rPr>
              <w:t>kWh</w:t>
            </w:r>
            <w:proofErr w:type="spellEnd"/>
            <w:r w:rsidRPr="00575A56">
              <w:rPr>
                <w:sz w:val="24"/>
                <w:szCs w:val="24"/>
                <w:lang w:eastAsia="pl-PL"/>
              </w:rPr>
              <w:t> odpowiada ilości energii, jaką zużywa przez godzinę urządzenie o mocy 1000 watów, czyli jednego kilowata (</w:t>
            </w:r>
            <w:proofErr w:type="spellStart"/>
            <w:r w:rsidRPr="00575A56">
              <w:rPr>
                <w:sz w:val="24"/>
                <w:szCs w:val="24"/>
                <w:lang w:eastAsia="pl-PL"/>
              </w:rPr>
              <w:t>kW</w:t>
            </w:r>
            <w:proofErr w:type="spellEnd"/>
            <w:r w:rsidRPr="00575A56">
              <w:rPr>
                <w:sz w:val="24"/>
                <w:szCs w:val="24"/>
                <w:lang w:eastAsia="pl-PL"/>
              </w:rPr>
              <w:t>)</w:t>
            </w:r>
          </w:p>
        </w:tc>
      </w:tr>
      <w:tr w:rsidR="00575A56" w:rsidRPr="00575A56" w:rsidTr="00515420">
        <w:trPr>
          <w:trHeight w:val="570"/>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kilowatogodzina/metr sześcienny [</w:t>
            </w:r>
            <w:proofErr w:type="spellStart"/>
            <w:r w:rsidRPr="00575A56">
              <w:rPr>
                <w:sz w:val="24"/>
                <w:szCs w:val="24"/>
                <w:lang w:eastAsia="pl-PL"/>
              </w:rPr>
              <w:t>kWh</w:t>
            </w:r>
            <w:proofErr w:type="spellEnd"/>
            <w:r w:rsidRPr="00575A56">
              <w:rPr>
                <w:sz w:val="24"/>
                <w:szCs w:val="24"/>
                <w:lang w:eastAsia="pl-PL"/>
              </w:rPr>
              <w:t>/m</w:t>
            </w:r>
            <w:r w:rsidRPr="00575A56">
              <w:rPr>
                <w:sz w:val="24"/>
                <w:szCs w:val="24"/>
                <w:vertAlign w:val="superscript"/>
                <w:lang w:eastAsia="pl-PL"/>
              </w:rPr>
              <w:t>2</w:t>
            </w:r>
            <w:r w:rsidRPr="00575A56">
              <w:rPr>
                <w:sz w:val="24"/>
                <w:szCs w:val="24"/>
                <w:lang w:eastAsia="pl-PL"/>
              </w:rPr>
              <w:t>]</w:t>
            </w:r>
          </w:p>
        </w:tc>
        <w:tc>
          <w:tcPr>
            <w:tcW w:w="5919" w:type="dxa"/>
            <w:noWrap/>
          </w:tcPr>
          <w:p w:rsidR="00575A56" w:rsidRPr="00575A56" w:rsidRDefault="00575A56" w:rsidP="00575A56">
            <w:pPr>
              <w:jc w:val="center"/>
              <w:cnfStyle w:val="000000000000"/>
              <w:rPr>
                <w:sz w:val="24"/>
                <w:szCs w:val="24"/>
                <w:lang w:eastAsia="pl-PL"/>
              </w:rPr>
            </w:pPr>
            <w:r w:rsidRPr="00575A56">
              <w:rPr>
                <w:sz w:val="24"/>
                <w:szCs w:val="24"/>
                <w:lang w:eastAsia="pl-PL"/>
              </w:rPr>
              <w:t>jednostka zapotrzebowania na ciepło w przeliczeniu na m</w:t>
            </w:r>
            <w:r w:rsidRPr="00575A56">
              <w:rPr>
                <w:sz w:val="24"/>
                <w:szCs w:val="24"/>
                <w:vertAlign w:val="superscript"/>
                <w:lang w:eastAsia="pl-PL"/>
              </w:rPr>
              <w:t>2</w:t>
            </w:r>
          </w:p>
        </w:tc>
      </w:tr>
      <w:tr w:rsidR="00575A56" w:rsidRPr="00575A56" w:rsidTr="00515420">
        <w:trPr>
          <w:cnfStyle w:val="000000100000"/>
          <w:trHeight w:val="570"/>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gram/kilowatogodzina [g/</w:t>
            </w:r>
            <w:proofErr w:type="spellStart"/>
            <w:r w:rsidRPr="00575A56">
              <w:rPr>
                <w:sz w:val="24"/>
                <w:szCs w:val="24"/>
                <w:lang w:eastAsia="pl-PL"/>
              </w:rPr>
              <w:t>kWh</w:t>
            </w:r>
            <w:proofErr w:type="spellEnd"/>
            <w:r w:rsidRPr="00575A56">
              <w:rPr>
                <w:sz w:val="24"/>
                <w:szCs w:val="24"/>
                <w:lang w:eastAsia="pl-PL"/>
              </w:rPr>
              <w:t>]</w:t>
            </w:r>
          </w:p>
        </w:tc>
        <w:tc>
          <w:tcPr>
            <w:tcW w:w="5919" w:type="dxa"/>
            <w:noWrap/>
          </w:tcPr>
          <w:p w:rsidR="00575A56" w:rsidRPr="00575A56" w:rsidRDefault="00575A56" w:rsidP="00575A56">
            <w:pPr>
              <w:jc w:val="center"/>
              <w:cnfStyle w:val="000000100000"/>
              <w:rPr>
                <w:sz w:val="24"/>
                <w:szCs w:val="24"/>
                <w:lang w:eastAsia="pl-PL"/>
              </w:rPr>
            </w:pPr>
            <w:r w:rsidRPr="00575A56">
              <w:rPr>
                <w:sz w:val="24"/>
                <w:szCs w:val="24"/>
                <w:lang w:eastAsia="pl-PL"/>
              </w:rPr>
              <w:t>metryczna jednostka zużycia paliwa</w:t>
            </w:r>
          </w:p>
        </w:tc>
      </w:tr>
      <w:tr w:rsidR="00575A56" w:rsidRPr="00575A56" w:rsidTr="00515420">
        <w:trPr>
          <w:trHeight w:val="585"/>
          <w:jc w:val="center"/>
        </w:trPr>
        <w:tc>
          <w:tcPr>
            <w:cnfStyle w:val="001000000000"/>
            <w:tcW w:w="2978" w:type="dxa"/>
            <w:hideMark/>
          </w:tcPr>
          <w:p w:rsidR="00575A56" w:rsidRPr="00575A56" w:rsidRDefault="00575A56" w:rsidP="00575A56">
            <w:pPr>
              <w:jc w:val="center"/>
              <w:rPr>
                <w:sz w:val="24"/>
                <w:szCs w:val="24"/>
                <w:lang w:eastAsia="pl-PL"/>
              </w:rPr>
            </w:pPr>
            <w:r w:rsidRPr="00575A56">
              <w:rPr>
                <w:sz w:val="24"/>
                <w:szCs w:val="24"/>
                <w:lang w:eastAsia="pl-PL"/>
              </w:rPr>
              <w:t>gigadżul [GJ]</w:t>
            </w:r>
          </w:p>
        </w:tc>
        <w:tc>
          <w:tcPr>
            <w:tcW w:w="5919" w:type="dxa"/>
            <w:hideMark/>
          </w:tcPr>
          <w:p w:rsidR="00575A56" w:rsidRPr="00575A56" w:rsidRDefault="00575A56" w:rsidP="00575A56">
            <w:pPr>
              <w:jc w:val="center"/>
              <w:cnfStyle w:val="000000000000"/>
              <w:rPr>
                <w:sz w:val="24"/>
                <w:szCs w:val="24"/>
                <w:lang w:eastAsia="pl-PL"/>
              </w:rPr>
            </w:pPr>
            <w:r w:rsidRPr="00575A56">
              <w:rPr>
                <w:sz w:val="24"/>
                <w:szCs w:val="24"/>
                <w:lang w:eastAsia="pl-PL"/>
              </w:rPr>
              <w:t>jest jednostką pochodną energii, pracy i ilości ciepła stosowaną w międzynarodowym układzie miar SI</w:t>
            </w:r>
          </w:p>
        </w:tc>
      </w:tr>
      <w:tr w:rsidR="00575A56" w:rsidRPr="00575A56" w:rsidTr="00515420">
        <w:trPr>
          <w:cnfStyle w:val="000000100000"/>
          <w:trHeight w:val="585"/>
          <w:jc w:val="center"/>
        </w:trPr>
        <w:tc>
          <w:tcPr>
            <w:cnfStyle w:val="001000000000"/>
            <w:tcW w:w="2978" w:type="dxa"/>
          </w:tcPr>
          <w:p w:rsidR="00575A56" w:rsidRPr="00575A56" w:rsidRDefault="00575A56" w:rsidP="00575A56">
            <w:pPr>
              <w:jc w:val="center"/>
              <w:rPr>
                <w:sz w:val="24"/>
                <w:szCs w:val="24"/>
                <w:lang w:eastAsia="pl-PL"/>
              </w:rPr>
            </w:pPr>
            <w:proofErr w:type="spellStart"/>
            <w:r w:rsidRPr="00575A56">
              <w:rPr>
                <w:sz w:val="24"/>
                <w:szCs w:val="24"/>
                <w:lang w:eastAsia="pl-PL"/>
              </w:rPr>
              <w:t>kilopascal</w:t>
            </w:r>
            <w:proofErr w:type="spellEnd"/>
            <w:r w:rsidRPr="00575A56">
              <w:rPr>
                <w:sz w:val="24"/>
                <w:szCs w:val="24"/>
                <w:lang w:eastAsia="pl-PL"/>
              </w:rPr>
              <w:t xml:space="preserve"> </w:t>
            </w:r>
            <w:proofErr w:type="spellStart"/>
            <w:r w:rsidRPr="00575A56">
              <w:rPr>
                <w:sz w:val="24"/>
                <w:szCs w:val="24"/>
                <w:lang w:eastAsia="pl-PL"/>
              </w:rPr>
              <w:t>[kP</w:t>
            </w:r>
            <w:proofErr w:type="spellEnd"/>
            <w:r w:rsidRPr="00575A56">
              <w:rPr>
                <w:sz w:val="24"/>
                <w:szCs w:val="24"/>
                <w:lang w:eastAsia="pl-PL"/>
              </w:rPr>
              <w:t xml:space="preserve">a], </w:t>
            </w:r>
            <w:proofErr w:type="spellStart"/>
            <w:r w:rsidRPr="00575A56">
              <w:rPr>
                <w:sz w:val="24"/>
                <w:szCs w:val="24"/>
                <w:lang w:eastAsia="pl-PL"/>
              </w:rPr>
              <w:t>megapascal</w:t>
            </w:r>
            <w:proofErr w:type="spellEnd"/>
            <w:r w:rsidRPr="00575A56">
              <w:rPr>
                <w:sz w:val="24"/>
                <w:szCs w:val="24"/>
                <w:lang w:eastAsia="pl-PL"/>
              </w:rPr>
              <w:t xml:space="preserve"> [</w:t>
            </w:r>
            <w:proofErr w:type="spellStart"/>
            <w:r w:rsidRPr="00575A56">
              <w:rPr>
                <w:sz w:val="24"/>
                <w:szCs w:val="24"/>
                <w:lang w:eastAsia="pl-PL"/>
              </w:rPr>
              <w:t>Mpa</w:t>
            </w:r>
            <w:proofErr w:type="spellEnd"/>
            <w:r w:rsidRPr="00575A56">
              <w:rPr>
                <w:sz w:val="24"/>
                <w:szCs w:val="24"/>
                <w:lang w:eastAsia="pl-PL"/>
              </w:rPr>
              <w:t>]</w:t>
            </w:r>
          </w:p>
        </w:tc>
        <w:tc>
          <w:tcPr>
            <w:tcW w:w="5919" w:type="dxa"/>
          </w:tcPr>
          <w:p w:rsidR="00575A56" w:rsidRPr="00575A56" w:rsidRDefault="00575A56" w:rsidP="00575A56">
            <w:pPr>
              <w:jc w:val="center"/>
              <w:cnfStyle w:val="000000100000"/>
              <w:rPr>
                <w:sz w:val="24"/>
                <w:szCs w:val="24"/>
                <w:lang w:eastAsia="pl-PL"/>
              </w:rPr>
            </w:pPr>
            <w:r w:rsidRPr="00575A56">
              <w:rPr>
                <w:sz w:val="24"/>
                <w:szCs w:val="24"/>
                <w:lang w:eastAsia="pl-PL"/>
              </w:rPr>
              <w:t xml:space="preserve">pochodne jednostki ciśnienia (pochodne </w:t>
            </w:r>
            <w:proofErr w:type="spellStart"/>
            <w:r w:rsidRPr="00575A56">
              <w:rPr>
                <w:sz w:val="24"/>
                <w:szCs w:val="24"/>
                <w:lang w:eastAsia="pl-PL"/>
              </w:rPr>
              <w:t>pascala</w:t>
            </w:r>
            <w:proofErr w:type="spellEnd"/>
            <w:r w:rsidRPr="00575A56">
              <w:rPr>
                <w:sz w:val="24"/>
                <w:szCs w:val="24"/>
                <w:lang w:eastAsia="pl-PL"/>
              </w:rPr>
              <w:t>)</w:t>
            </w:r>
          </w:p>
        </w:tc>
      </w:tr>
      <w:tr w:rsidR="00575A56" w:rsidRPr="00575A56" w:rsidTr="00515420">
        <w:trPr>
          <w:trHeight w:val="58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woltamper [VA]</w:t>
            </w:r>
          </w:p>
        </w:tc>
        <w:tc>
          <w:tcPr>
            <w:tcW w:w="5919" w:type="dxa"/>
          </w:tcPr>
          <w:p w:rsidR="00575A56" w:rsidRPr="00575A56" w:rsidRDefault="00575A56" w:rsidP="00575A56">
            <w:pPr>
              <w:jc w:val="center"/>
              <w:cnfStyle w:val="000000000000"/>
              <w:rPr>
                <w:sz w:val="24"/>
                <w:szCs w:val="24"/>
                <w:lang w:eastAsia="pl-PL"/>
              </w:rPr>
            </w:pPr>
            <w:r w:rsidRPr="00575A56">
              <w:rPr>
                <w:sz w:val="24"/>
                <w:szCs w:val="24"/>
                <w:lang w:eastAsia="pl-PL"/>
              </w:rPr>
              <w:t>jednostka miary mocy pozornej w obwodach prądu zmiennego</w:t>
            </w:r>
          </w:p>
        </w:tc>
      </w:tr>
      <w:tr w:rsidR="00575A56" w:rsidRPr="00575A56" w:rsidTr="00515420">
        <w:trPr>
          <w:cnfStyle w:val="000000100000"/>
          <w:trHeight w:val="585"/>
          <w:jc w:val="center"/>
        </w:trPr>
        <w:tc>
          <w:tcPr>
            <w:cnfStyle w:val="001000000000"/>
            <w:tcW w:w="2978" w:type="dxa"/>
          </w:tcPr>
          <w:p w:rsidR="00575A56" w:rsidRPr="00575A56" w:rsidRDefault="00575A56" w:rsidP="00575A56">
            <w:pPr>
              <w:jc w:val="center"/>
              <w:rPr>
                <w:sz w:val="24"/>
                <w:szCs w:val="24"/>
                <w:lang w:eastAsia="pl-PL"/>
              </w:rPr>
            </w:pPr>
            <w:proofErr w:type="spellStart"/>
            <w:r w:rsidRPr="00575A56">
              <w:rPr>
                <w:sz w:val="24"/>
                <w:szCs w:val="24"/>
                <w:lang w:eastAsia="pl-PL"/>
              </w:rPr>
              <w:t>kilowoltoamper</w:t>
            </w:r>
            <w:proofErr w:type="spellEnd"/>
            <w:r w:rsidRPr="00575A56">
              <w:rPr>
                <w:sz w:val="24"/>
                <w:szCs w:val="24"/>
                <w:lang w:eastAsia="pl-PL"/>
              </w:rPr>
              <w:t xml:space="preserve"> [</w:t>
            </w:r>
            <w:proofErr w:type="spellStart"/>
            <w:r w:rsidRPr="00575A56">
              <w:rPr>
                <w:sz w:val="24"/>
                <w:szCs w:val="24"/>
                <w:lang w:eastAsia="pl-PL"/>
              </w:rPr>
              <w:t>kVA</w:t>
            </w:r>
            <w:proofErr w:type="spellEnd"/>
            <w:r w:rsidRPr="00575A56">
              <w:rPr>
                <w:sz w:val="24"/>
                <w:szCs w:val="24"/>
                <w:lang w:eastAsia="pl-PL"/>
              </w:rPr>
              <w:t xml:space="preserve">], </w:t>
            </w:r>
            <w:proofErr w:type="spellStart"/>
            <w:r w:rsidRPr="00575A56">
              <w:rPr>
                <w:sz w:val="24"/>
                <w:szCs w:val="24"/>
                <w:lang w:eastAsia="pl-PL"/>
              </w:rPr>
              <w:t>megawoltoamper</w:t>
            </w:r>
            <w:proofErr w:type="spellEnd"/>
            <w:r w:rsidRPr="00575A56">
              <w:rPr>
                <w:sz w:val="24"/>
                <w:szCs w:val="24"/>
                <w:lang w:eastAsia="pl-PL"/>
              </w:rPr>
              <w:t xml:space="preserve"> [MVA]</w:t>
            </w:r>
          </w:p>
        </w:tc>
        <w:tc>
          <w:tcPr>
            <w:tcW w:w="5919" w:type="dxa"/>
          </w:tcPr>
          <w:p w:rsidR="00575A56" w:rsidRPr="00575A56" w:rsidRDefault="00575A56" w:rsidP="00575A56">
            <w:pPr>
              <w:jc w:val="center"/>
              <w:cnfStyle w:val="000000100000"/>
              <w:rPr>
                <w:sz w:val="24"/>
                <w:szCs w:val="24"/>
                <w:lang w:eastAsia="pl-PL"/>
              </w:rPr>
            </w:pPr>
            <w:r w:rsidRPr="00575A56">
              <w:rPr>
                <w:sz w:val="24"/>
                <w:szCs w:val="24"/>
                <w:lang w:eastAsia="pl-PL"/>
              </w:rPr>
              <w:t>pochodne jednostki mocy pozornej w obwodach prądu zmiennego (woltamper)</w:t>
            </w:r>
          </w:p>
        </w:tc>
      </w:tr>
      <w:tr w:rsidR="00575A56" w:rsidRPr="00575A56" w:rsidTr="00515420">
        <w:trPr>
          <w:trHeight w:val="58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megadżul/nanometr sześcienny [MJ/Nm</w:t>
            </w:r>
            <w:r w:rsidRPr="00575A56">
              <w:rPr>
                <w:sz w:val="24"/>
                <w:szCs w:val="24"/>
                <w:vertAlign w:val="superscript"/>
                <w:lang w:eastAsia="pl-PL"/>
              </w:rPr>
              <w:t>3</w:t>
            </w:r>
            <w:r w:rsidRPr="00575A56">
              <w:rPr>
                <w:sz w:val="24"/>
                <w:szCs w:val="24"/>
                <w:lang w:eastAsia="pl-PL"/>
              </w:rPr>
              <w:t>]</w:t>
            </w:r>
          </w:p>
        </w:tc>
        <w:tc>
          <w:tcPr>
            <w:tcW w:w="5919" w:type="dxa"/>
          </w:tcPr>
          <w:p w:rsidR="00575A56" w:rsidRPr="00575A56" w:rsidRDefault="00575A56" w:rsidP="00575A56">
            <w:pPr>
              <w:jc w:val="center"/>
              <w:cnfStyle w:val="000000000000"/>
              <w:rPr>
                <w:sz w:val="24"/>
                <w:szCs w:val="24"/>
                <w:lang w:eastAsia="pl-PL"/>
              </w:rPr>
            </w:pPr>
            <w:r w:rsidRPr="00575A56">
              <w:rPr>
                <w:sz w:val="24"/>
                <w:szCs w:val="24"/>
                <w:lang w:eastAsia="pl-PL"/>
              </w:rPr>
              <w:t>jednostka wartości opałowej dla gazu</w:t>
            </w:r>
          </w:p>
        </w:tc>
      </w:tr>
      <w:tr w:rsidR="00575A56" w:rsidRPr="00575A56" w:rsidTr="00515420">
        <w:trPr>
          <w:cnfStyle w:val="000000100000"/>
          <w:trHeight w:val="58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nanometr sześcienny/godzina [Nm</w:t>
            </w:r>
            <w:r w:rsidRPr="00575A56">
              <w:rPr>
                <w:sz w:val="24"/>
                <w:szCs w:val="24"/>
                <w:vertAlign w:val="superscript"/>
                <w:lang w:eastAsia="pl-PL"/>
              </w:rPr>
              <w:t>3</w:t>
            </w:r>
            <w:r w:rsidRPr="00575A56">
              <w:rPr>
                <w:sz w:val="24"/>
                <w:szCs w:val="24"/>
                <w:lang w:eastAsia="pl-PL"/>
              </w:rPr>
              <w:t>/h]</w:t>
            </w:r>
          </w:p>
        </w:tc>
        <w:tc>
          <w:tcPr>
            <w:tcW w:w="5919" w:type="dxa"/>
          </w:tcPr>
          <w:p w:rsidR="00575A56" w:rsidRPr="00575A56" w:rsidRDefault="00575A56" w:rsidP="00575A56">
            <w:pPr>
              <w:jc w:val="center"/>
              <w:cnfStyle w:val="000000100000"/>
              <w:rPr>
                <w:sz w:val="24"/>
                <w:szCs w:val="24"/>
                <w:lang w:eastAsia="pl-PL"/>
              </w:rPr>
            </w:pPr>
            <w:r w:rsidRPr="00575A56">
              <w:rPr>
                <w:sz w:val="24"/>
                <w:szCs w:val="24"/>
                <w:lang w:eastAsia="pl-PL"/>
              </w:rPr>
              <w:t>jednostka określająca zużycie gazu w czasie (godzina)</w:t>
            </w:r>
          </w:p>
        </w:tc>
      </w:tr>
      <w:tr w:rsidR="00575A56" w:rsidRPr="00575A56" w:rsidTr="00515420">
        <w:trPr>
          <w:trHeight w:val="58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lastRenderedPageBreak/>
              <w:t>[µg/m</w:t>
            </w:r>
            <w:r w:rsidRPr="00575A56">
              <w:rPr>
                <w:sz w:val="24"/>
                <w:szCs w:val="24"/>
                <w:vertAlign w:val="superscript"/>
                <w:lang w:eastAsia="pl-PL"/>
              </w:rPr>
              <w:t>3</w:t>
            </w:r>
            <w:r w:rsidRPr="00575A56">
              <w:rPr>
                <w:sz w:val="24"/>
                <w:szCs w:val="24"/>
                <w:lang w:eastAsia="pl-PL"/>
              </w:rPr>
              <w:t>], [mg/m</w:t>
            </w:r>
            <w:r w:rsidRPr="00575A56">
              <w:rPr>
                <w:sz w:val="24"/>
                <w:szCs w:val="24"/>
                <w:vertAlign w:val="superscript"/>
                <w:lang w:eastAsia="pl-PL"/>
              </w:rPr>
              <w:t>3</w:t>
            </w:r>
            <w:r w:rsidRPr="00575A56">
              <w:rPr>
                <w:sz w:val="24"/>
                <w:szCs w:val="24"/>
                <w:lang w:eastAsia="pl-PL"/>
              </w:rPr>
              <w:t>]</w:t>
            </w:r>
          </w:p>
        </w:tc>
        <w:tc>
          <w:tcPr>
            <w:tcW w:w="5919" w:type="dxa"/>
          </w:tcPr>
          <w:p w:rsidR="00575A56" w:rsidRPr="00575A56" w:rsidRDefault="00575A56" w:rsidP="00575A56">
            <w:pPr>
              <w:jc w:val="center"/>
              <w:cnfStyle w:val="000000000000"/>
              <w:rPr>
                <w:sz w:val="24"/>
                <w:szCs w:val="24"/>
                <w:lang w:eastAsia="pl-PL"/>
              </w:rPr>
            </w:pPr>
            <w:r w:rsidRPr="00575A56">
              <w:rPr>
                <w:sz w:val="24"/>
                <w:szCs w:val="24"/>
                <w:lang w:eastAsia="pl-PL"/>
              </w:rPr>
              <w:t>jednostki stężenia zanieczyszczeń stałych (pyłu zawieszonego)</w:t>
            </w:r>
          </w:p>
        </w:tc>
      </w:tr>
      <w:tr w:rsidR="00575A56" w:rsidRPr="00575A56" w:rsidTr="00515420">
        <w:trPr>
          <w:cnfStyle w:val="000000100000"/>
          <w:trHeight w:val="58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USD/</w:t>
            </w:r>
            <w:proofErr w:type="spellStart"/>
            <w:r w:rsidRPr="00575A56">
              <w:rPr>
                <w:sz w:val="24"/>
                <w:szCs w:val="24"/>
                <w:lang w:eastAsia="pl-PL"/>
              </w:rPr>
              <w:t>boe</w:t>
            </w:r>
            <w:proofErr w:type="spellEnd"/>
          </w:p>
        </w:tc>
        <w:tc>
          <w:tcPr>
            <w:tcW w:w="5919" w:type="dxa"/>
          </w:tcPr>
          <w:p w:rsidR="00575A56" w:rsidRPr="00575A56" w:rsidRDefault="00575A56" w:rsidP="00575A56">
            <w:pPr>
              <w:jc w:val="center"/>
              <w:cnfStyle w:val="000000100000"/>
              <w:rPr>
                <w:sz w:val="24"/>
                <w:szCs w:val="24"/>
                <w:lang w:eastAsia="pl-PL"/>
              </w:rPr>
            </w:pPr>
            <w:r w:rsidRPr="00575A56">
              <w:rPr>
                <w:sz w:val="24"/>
                <w:szCs w:val="24"/>
                <w:lang w:eastAsia="pl-PL"/>
              </w:rPr>
              <w:t>jednostka ceny paliw opałowych w USD</w:t>
            </w:r>
          </w:p>
        </w:tc>
      </w:tr>
      <w:tr w:rsidR="00575A56" w:rsidRPr="00575A56" w:rsidTr="00515420">
        <w:trPr>
          <w:trHeight w:val="58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USD/t</w:t>
            </w:r>
          </w:p>
        </w:tc>
        <w:tc>
          <w:tcPr>
            <w:tcW w:w="5919" w:type="dxa"/>
          </w:tcPr>
          <w:p w:rsidR="00575A56" w:rsidRPr="00575A56" w:rsidRDefault="00575A56" w:rsidP="00575A56">
            <w:pPr>
              <w:jc w:val="center"/>
              <w:cnfStyle w:val="000000000000"/>
              <w:rPr>
                <w:sz w:val="24"/>
                <w:szCs w:val="24"/>
                <w:lang w:eastAsia="pl-PL"/>
              </w:rPr>
            </w:pPr>
            <w:r w:rsidRPr="00575A56">
              <w:rPr>
                <w:sz w:val="24"/>
                <w:szCs w:val="24"/>
                <w:lang w:eastAsia="pl-PL"/>
              </w:rPr>
              <w:t>jednostka ceny węgla kamiennego w tonach</w:t>
            </w:r>
          </w:p>
        </w:tc>
      </w:tr>
      <w:tr w:rsidR="00575A56" w:rsidRPr="00575A56" w:rsidTr="00515420">
        <w:trPr>
          <w:cnfStyle w:val="000000100000"/>
          <w:trHeight w:val="585"/>
          <w:jc w:val="center"/>
        </w:trPr>
        <w:tc>
          <w:tcPr>
            <w:cnfStyle w:val="001000000000"/>
            <w:tcW w:w="2978" w:type="dxa"/>
          </w:tcPr>
          <w:p w:rsidR="00575A56" w:rsidRPr="00575A56" w:rsidRDefault="00575A56" w:rsidP="00575A56">
            <w:pPr>
              <w:jc w:val="center"/>
              <w:rPr>
                <w:sz w:val="24"/>
                <w:szCs w:val="24"/>
                <w:lang w:eastAsia="pl-PL"/>
              </w:rPr>
            </w:pPr>
            <w:r w:rsidRPr="00575A56">
              <w:rPr>
                <w:sz w:val="24"/>
                <w:szCs w:val="24"/>
                <w:lang w:eastAsia="pl-PL"/>
              </w:rPr>
              <w:t>USD/GJ</w:t>
            </w:r>
          </w:p>
        </w:tc>
        <w:tc>
          <w:tcPr>
            <w:tcW w:w="5919" w:type="dxa"/>
          </w:tcPr>
          <w:p w:rsidR="00575A56" w:rsidRPr="00575A56" w:rsidRDefault="00575A56" w:rsidP="00575A56">
            <w:pPr>
              <w:jc w:val="center"/>
              <w:cnfStyle w:val="000000100000"/>
              <w:rPr>
                <w:sz w:val="24"/>
                <w:szCs w:val="24"/>
                <w:lang w:eastAsia="pl-PL"/>
              </w:rPr>
            </w:pPr>
            <w:r w:rsidRPr="00575A56">
              <w:rPr>
                <w:sz w:val="24"/>
                <w:szCs w:val="24"/>
                <w:lang w:eastAsia="pl-PL"/>
              </w:rPr>
              <w:t>jednostka ceny 1 GJ paliw opałowych</w:t>
            </w:r>
          </w:p>
        </w:tc>
      </w:tr>
    </w:tbl>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Default="00575A56"/>
    <w:p w:rsidR="00575A56" w:rsidRPr="00163FBA" w:rsidRDefault="00575A56" w:rsidP="00163FBA">
      <w:pPr>
        <w:pStyle w:val="Nagwek1"/>
      </w:pPr>
      <w:bookmarkStart w:id="11" w:name="_Toc422834379"/>
      <w:bookmarkStart w:id="12" w:name="_Toc427566506"/>
      <w:bookmarkStart w:id="13" w:name="_Toc427675549"/>
      <w:bookmarkStart w:id="14" w:name="_Toc427734949"/>
      <w:r w:rsidRPr="00163FBA">
        <w:lastRenderedPageBreak/>
        <w:t>Wprowadzenie</w:t>
      </w:r>
      <w:bookmarkEnd w:id="11"/>
      <w:bookmarkEnd w:id="12"/>
      <w:bookmarkEnd w:id="13"/>
      <w:bookmarkEnd w:id="14"/>
    </w:p>
    <w:p w:rsidR="00575A56" w:rsidRPr="00163FBA" w:rsidRDefault="00575A56" w:rsidP="00163FBA">
      <w:pPr>
        <w:pStyle w:val="Nagwek2"/>
      </w:pPr>
      <w:bookmarkStart w:id="15" w:name="_Toc409437325"/>
      <w:bookmarkStart w:id="16" w:name="_Toc411239964"/>
      <w:bookmarkStart w:id="17" w:name="_Toc422834380"/>
      <w:bookmarkStart w:id="18" w:name="_Toc427566507"/>
      <w:bookmarkStart w:id="19" w:name="_Toc427675550"/>
      <w:bookmarkStart w:id="20" w:name="_Toc427734950"/>
      <w:r w:rsidRPr="00163FBA">
        <w:t>Podstawa prawna opracowania</w:t>
      </w:r>
      <w:bookmarkEnd w:id="15"/>
      <w:bookmarkEnd w:id="16"/>
      <w:bookmarkEnd w:id="17"/>
      <w:bookmarkEnd w:id="18"/>
      <w:bookmarkEnd w:id="19"/>
      <w:bookmarkEnd w:id="20"/>
    </w:p>
    <w:p w:rsidR="00575A56" w:rsidRPr="001F291D" w:rsidRDefault="00575A56" w:rsidP="00575A56">
      <w:pPr>
        <w:rPr>
          <w:szCs w:val="32"/>
        </w:rPr>
      </w:pPr>
      <w:r w:rsidRPr="001F291D">
        <w:rPr>
          <w:szCs w:val="32"/>
        </w:rPr>
        <w:t>Podstawę formalną opracowania „</w:t>
      </w:r>
      <w:r>
        <w:rPr>
          <w:szCs w:val="32"/>
        </w:rPr>
        <w:t>Projekt założeń do planu zaopatrzenia w ciepło ,energię elektryczną i p</w:t>
      </w:r>
      <w:r w:rsidR="00400564">
        <w:rPr>
          <w:szCs w:val="32"/>
        </w:rPr>
        <w:t>aliwa gazowe Gminy Strawczyn</w:t>
      </w:r>
      <w:r>
        <w:rPr>
          <w:szCs w:val="32"/>
        </w:rPr>
        <w:t xml:space="preserve">” </w:t>
      </w:r>
      <w:r w:rsidR="00045003">
        <w:rPr>
          <w:szCs w:val="32"/>
        </w:rPr>
        <w:t xml:space="preserve">stanowi umowa z dn. </w:t>
      </w:r>
      <w:r w:rsidR="006A5F6C" w:rsidRPr="006A5F6C">
        <w:rPr>
          <w:szCs w:val="32"/>
        </w:rPr>
        <w:t>27 listopada</w:t>
      </w:r>
      <w:r w:rsidRPr="006A5F6C">
        <w:rPr>
          <w:szCs w:val="32"/>
        </w:rPr>
        <w:t xml:space="preserve"> 2014 zawarta pomiędzy </w:t>
      </w:r>
      <w:r w:rsidR="00400564" w:rsidRPr="006A5F6C">
        <w:rPr>
          <w:szCs w:val="32"/>
        </w:rPr>
        <w:t>Gminą Strawczyn</w:t>
      </w:r>
      <w:r w:rsidRPr="006A5F6C">
        <w:rPr>
          <w:szCs w:val="32"/>
        </w:rPr>
        <w:t>, a firmą Centrum Doradztwa Energetycznego Sp. z o.o.</w:t>
      </w:r>
    </w:p>
    <w:p w:rsidR="00575A56" w:rsidRPr="00400564" w:rsidRDefault="00575A56">
      <w:pPr>
        <w:rPr>
          <w:szCs w:val="32"/>
        </w:rPr>
      </w:pPr>
      <w:r w:rsidRPr="001F291D">
        <w:rPr>
          <w:szCs w:val="32"/>
        </w:rPr>
        <w:t>Podstawę prawną opracowania „</w:t>
      </w:r>
      <w:r w:rsidR="00400564">
        <w:rPr>
          <w:szCs w:val="32"/>
        </w:rPr>
        <w:t>Projekt</w:t>
      </w:r>
      <w:r>
        <w:rPr>
          <w:szCs w:val="32"/>
        </w:rPr>
        <w:t xml:space="preserve"> założeń do planu zaopatrzenia w ciepło ,energię elektryczną i p</w:t>
      </w:r>
      <w:r w:rsidR="00400564">
        <w:rPr>
          <w:szCs w:val="32"/>
        </w:rPr>
        <w:t>aliwa gazowe Gminy Strawczyn</w:t>
      </w:r>
      <w:r>
        <w:rPr>
          <w:szCs w:val="32"/>
        </w:rPr>
        <w:t>”</w:t>
      </w:r>
      <w:r w:rsidRPr="001F291D">
        <w:rPr>
          <w:szCs w:val="32"/>
        </w:rPr>
        <w:t xml:space="preserve"> stanowi art. 18 i 19 ustawy z dnia 10 kwietnia 1997 r. Prawo energetyczne (tekst jednolity Dz. U. z 1997r. Nr 54 poz. 348 z </w:t>
      </w:r>
      <w:proofErr w:type="spellStart"/>
      <w:r w:rsidRPr="001F291D">
        <w:rPr>
          <w:szCs w:val="32"/>
        </w:rPr>
        <w:t>późn</w:t>
      </w:r>
      <w:proofErr w:type="spellEnd"/>
      <w:r w:rsidRPr="001F291D">
        <w:rPr>
          <w:szCs w:val="32"/>
        </w:rPr>
        <w:t>. zm.)</w:t>
      </w:r>
      <w:r w:rsidRPr="001F291D">
        <w:rPr>
          <w:rStyle w:val="Odwoanieprzypisudolnego"/>
          <w:szCs w:val="32"/>
        </w:rPr>
        <w:footnoteReference w:id="2"/>
      </w:r>
      <w:r w:rsidRPr="001F291D">
        <w:rPr>
          <w:szCs w:val="32"/>
        </w:rPr>
        <w:t>.</w:t>
      </w:r>
    </w:p>
    <w:p w:rsidR="00400564" w:rsidRPr="00163FBA" w:rsidRDefault="00400564" w:rsidP="00163FBA">
      <w:pPr>
        <w:pStyle w:val="Nagwek2"/>
      </w:pPr>
      <w:bookmarkStart w:id="21" w:name="_Toc406671423"/>
      <w:bookmarkStart w:id="22" w:name="_Toc409437326"/>
      <w:bookmarkStart w:id="23" w:name="_Toc411239965"/>
      <w:bookmarkStart w:id="24" w:name="_Toc422834381"/>
      <w:bookmarkStart w:id="25" w:name="_Toc427566508"/>
      <w:bookmarkStart w:id="26" w:name="_Toc427675551"/>
      <w:bookmarkStart w:id="27" w:name="_Toc427734951"/>
      <w:r w:rsidRPr="00163FBA">
        <w:t>Cel i zakres opracowania</w:t>
      </w:r>
      <w:bookmarkEnd w:id="21"/>
      <w:bookmarkEnd w:id="22"/>
      <w:bookmarkEnd w:id="23"/>
      <w:bookmarkEnd w:id="24"/>
      <w:bookmarkEnd w:id="25"/>
      <w:bookmarkEnd w:id="26"/>
      <w:bookmarkEnd w:id="27"/>
    </w:p>
    <w:p w:rsidR="00400564" w:rsidRPr="001F291D" w:rsidRDefault="00400564" w:rsidP="00400564">
      <w:pPr>
        <w:rPr>
          <w:szCs w:val="32"/>
        </w:rPr>
      </w:pPr>
      <w:r w:rsidRPr="001F291D">
        <w:rPr>
          <w:szCs w:val="32"/>
        </w:rPr>
        <w:t xml:space="preserve">Celem opracowania jest analiza aktualnych potrzeb energetycznych i sposobu ich zaspokajania na terenie </w:t>
      </w:r>
      <w:r>
        <w:rPr>
          <w:szCs w:val="32"/>
        </w:rPr>
        <w:t>Gminy Strawczyn</w:t>
      </w:r>
      <w:r w:rsidRPr="001F291D">
        <w:rPr>
          <w:szCs w:val="32"/>
        </w:rPr>
        <w:t>, określenie prognozy oraz wskazanie źródeł pokrycia zapotrzebowania na energię do 20</w:t>
      </w:r>
      <w:r>
        <w:rPr>
          <w:szCs w:val="32"/>
        </w:rPr>
        <w:t>25</w:t>
      </w:r>
      <w:r w:rsidRPr="001F291D">
        <w:rPr>
          <w:szCs w:val="32"/>
        </w:rPr>
        <w:t xml:space="preserve"> roku, z uwzględnieniem planowanego rozwoju analizowanego obszaru.</w:t>
      </w:r>
    </w:p>
    <w:p w:rsidR="00400564" w:rsidRPr="001F291D" w:rsidRDefault="00400564" w:rsidP="00400564">
      <w:pPr>
        <w:rPr>
          <w:szCs w:val="32"/>
        </w:rPr>
      </w:pPr>
      <w:r w:rsidRPr="001F291D">
        <w:rPr>
          <w:szCs w:val="32"/>
        </w:rPr>
        <w:t xml:space="preserve">Niniejsze opracowanie zawiera: </w:t>
      </w:r>
    </w:p>
    <w:p w:rsidR="00400564" w:rsidRPr="001F291D" w:rsidRDefault="00400564" w:rsidP="00775439">
      <w:pPr>
        <w:numPr>
          <w:ilvl w:val="0"/>
          <w:numId w:val="2"/>
        </w:numPr>
        <w:spacing w:before="120" w:after="120" w:line="360" w:lineRule="auto"/>
        <w:contextualSpacing/>
      </w:pPr>
      <w:r w:rsidRPr="001F291D">
        <w:t>ocenę stanu aktualnego i przewidywanych zmian zapotrzebowania na ciepło, energię elektryczną i paliwa gazowe,</w:t>
      </w:r>
    </w:p>
    <w:p w:rsidR="00400564" w:rsidRPr="001F291D" w:rsidRDefault="00400564" w:rsidP="00775439">
      <w:pPr>
        <w:numPr>
          <w:ilvl w:val="0"/>
          <w:numId w:val="2"/>
        </w:numPr>
        <w:spacing w:before="120" w:after="120" w:line="360" w:lineRule="auto"/>
        <w:contextualSpacing/>
        <w:rPr>
          <w:szCs w:val="32"/>
        </w:rPr>
      </w:pPr>
      <w:r w:rsidRPr="001F291D">
        <w:rPr>
          <w:szCs w:val="32"/>
        </w:rPr>
        <w:t>przedsięwzięcia racjonalizujące użytkowanie ciepła, energii elektrycznej i paliw gazowych,</w:t>
      </w:r>
    </w:p>
    <w:p w:rsidR="00400564" w:rsidRPr="001F291D" w:rsidRDefault="00400564" w:rsidP="00775439">
      <w:pPr>
        <w:numPr>
          <w:ilvl w:val="0"/>
          <w:numId w:val="2"/>
        </w:numPr>
        <w:spacing w:before="120" w:after="120" w:line="360" w:lineRule="auto"/>
        <w:contextualSpacing/>
        <w:rPr>
          <w:szCs w:val="32"/>
        </w:rPr>
      </w:pPr>
      <w:r w:rsidRPr="001F291D">
        <w:rPr>
          <w:szCs w:val="32"/>
        </w:rPr>
        <w:t>możliwości wykorzystania istniejących nadwyżek</w:t>
      </w:r>
      <w:r>
        <w:rPr>
          <w:szCs w:val="32"/>
        </w:rPr>
        <w:t xml:space="preserve"> i </w:t>
      </w:r>
      <w:r w:rsidRPr="001F291D">
        <w:rPr>
          <w:szCs w:val="32"/>
        </w:rPr>
        <w:t>lokalnych zasobów paliw</w:t>
      </w:r>
      <w:r>
        <w:rPr>
          <w:szCs w:val="32"/>
        </w:rPr>
        <w:t xml:space="preserve"> i </w:t>
      </w:r>
      <w:r w:rsidRPr="001F291D">
        <w:rPr>
          <w:szCs w:val="32"/>
        </w:rPr>
        <w:t xml:space="preserve">energii, </w:t>
      </w:r>
      <w:r>
        <w:rPr>
          <w:szCs w:val="32"/>
        </w:rPr>
        <w:t xml:space="preserve">z </w:t>
      </w:r>
      <w:r w:rsidRPr="001F291D">
        <w:rPr>
          <w:szCs w:val="32"/>
        </w:rPr>
        <w:t>uwzględnieniem energii elektrycznej</w:t>
      </w:r>
      <w:r>
        <w:rPr>
          <w:szCs w:val="32"/>
        </w:rPr>
        <w:t xml:space="preserve"> i </w:t>
      </w:r>
      <w:r w:rsidRPr="001F291D">
        <w:rPr>
          <w:szCs w:val="32"/>
        </w:rPr>
        <w:t>ciepła wytwarzanego</w:t>
      </w:r>
      <w:r>
        <w:rPr>
          <w:szCs w:val="32"/>
        </w:rPr>
        <w:t xml:space="preserve"> z </w:t>
      </w:r>
      <w:r w:rsidRPr="001F291D">
        <w:rPr>
          <w:szCs w:val="32"/>
        </w:rPr>
        <w:t>odnawialnych źródeł energii,</w:t>
      </w:r>
    </w:p>
    <w:p w:rsidR="00400564" w:rsidRPr="001F291D" w:rsidRDefault="00400564" w:rsidP="00775439">
      <w:pPr>
        <w:numPr>
          <w:ilvl w:val="0"/>
          <w:numId w:val="2"/>
        </w:numPr>
        <w:spacing w:before="120" w:after="120" w:line="360" w:lineRule="auto"/>
        <w:contextualSpacing/>
        <w:rPr>
          <w:szCs w:val="32"/>
        </w:rPr>
      </w:pPr>
      <w:r w:rsidRPr="001F291D">
        <w:rPr>
          <w:szCs w:val="32"/>
        </w:rPr>
        <w:t xml:space="preserve">możliwości stosowania środków poprawy efektywności </w:t>
      </w:r>
      <w:proofErr w:type="spellStart"/>
      <w:r w:rsidRPr="001F291D">
        <w:rPr>
          <w:szCs w:val="32"/>
        </w:rPr>
        <w:t>energetycznejw</w:t>
      </w:r>
      <w:proofErr w:type="spellEnd"/>
      <w:r w:rsidRPr="001F291D">
        <w:rPr>
          <w:szCs w:val="32"/>
        </w:rPr>
        <w:t> rozumieniu ustawy z dnia 15 kwietnia 2011 r. o efektywności energetycznej.</w:t>
      </w:r>
    </w:p>
    <w:p w:rsidR="00400564" w:rsidRPr="001F291D" w:rsidRDefault="00400564" w:rsidP="00400564">
      <w:pPr>
        <w:spacing w:line="276" w:lineRule="auto"/>
        <w:ind w:left="720"/>
        <w:contextualSpacing/>
        <w:rPr>
          <w:szCs w:val="32"/>
        </w:rPr>
      </w:pPr>
    </w:p>
    <w:p w:rsidR="00400564" w:rsidRPr="001F291D" w:rsidRDefault="00400564" w:rsidP="00400564">
      <w:r w:rsidRPr="001F291D">
        <w:t>Przy opracowaniu niniejszego dokumentu wykorzystano dane udostępnione przez odpowiednie jednostki, w tym:</w:t>
      </w:r>
    </w:p>
    <w:p w:rsidR="00400564" w:rsidRPr="001F291D" w:rsidRDefault="00400564" w:rsidP="00775439">
      <w:pPr>
        <w:pStyle w:val="Akapitzlist"/>
        <w:numPr>
          <w:ilvl w:val="0"/>
          <w:numId w:val="3"/>
        </w:numPr>
        <w:rPr>
          <w:rFonts w:ascii="Georgia" w:hAnsi="Georgia"/>
        </w:rPr>
      </w:pPr>
      <w:r w:rsidRPr="001F291D">
        <w:rPr>
          <w:rFonts w:ascii="Georgia" w:hAnsi="Georgia"/>
        </w:rPr>
        <w:t>Wieloletnią Prognozę Finansową</w:t>
      </w:r>
      <w:r>
        <w:rPr>
          <w:rFonts w:ascii="Georgia" w:hAnsi="Georgia"/>
        </w:rPr>
        <w:t>,</w:t>
      </w:r>
    </w:p>
    <w:p w:rsidR="00400564" w:rsidRPr="001F291D" w:rsidRDefault="00400564" w:rsidP="00775439">
      <w:pPr>
        <w:pStyle w:val="Akapitzlist"/>
        <w:numPr>
          <w:ilvl w:val="0"/>
          <w:numId w:val="3"/>
        </w:numPr>
        <w:rPr>
          <w:rFonts w:ascii="Georgia" w:hAnsi="Georgia"/>
        </w:rPr>
      </w:pPr>
      <w:r w:rsidRPr="001F291D">
        <w:rPr>
          <w:rFonts w:ascii="Georgia" w:hAnsi="Georgia"/>
        </w:rPr>
        <w:t>Dane Głównego Urzędu Statystycznego (stat.gov</w:t>
      </w:r>
      <w:r>
        <w:rPr>
          <w:rFonts w:ascii="Georgia" w:hAnsi="Georgia"/>
        </w:rPr>
        <w:t>.pl).</w:t>
      </w:r>
    </w:p>
    <w:p w:rsidR="00400564" w:rsidRPr="001F291D" w:rsidRDefault="00400564" w:rsidP="00775439">
      <w:pPr>
        <w:pStyle w:val="Akapitzlist"/>
        <w:numPr>
          <w:ilvl w:val="0"/>
          <w:numId w:val="3"/>
        </w:numPr>
        <w:rPr>
          <w:rFonts w:ascii="Georgia" w:hAnsi="Georgia"/>
        </w:rPr>
      </w:pPr>
      <w:r w:rsidRPr="001F291D">
        <w:rPr>
          <w:rFonts w:ascii="Georgia" w:hAnsi="Georgia"/>
        </w:rPr>
        <w:t>Aktualne taryfy sprzedaży ciepła, gazu i </w:t>
      </w:r>
      <w:r>
        <w:rPr>
          <w:rFonts w:ascii="Georgia" w:hAnsi="Georgia"/>
        </w:rPr>
        <w:t>energii elektrycznej.</w:t>
      </w:r>
    </w:p>
    <w:p w:rsidR="00400564" w:rsidRPr="001F291D" w:rsidRDefault="00400564" w:rsidP="00775439">
      <w:pPr>
        <w:pStyle w:val="Akapitzlist"/>
        <w:numPr>
          <w:ilvl w:val="0"/>
          <w:numId w:val="3"/>
        </w:numPr>
        <w:rPr>
          <w:rFonts w:ascii="Georgia" w:hAnsi="Georgia"/>
        </w:rPr>
      </w:pPr>
      <w:r w:rsidRPr="001F291D">
        <w:rPr>
          <w:rFonts w:ascii="Georgia" w:hAnsi="Georgia"/>
        </w:rPr>
        <w:t>Dane od podmiotów pełniących funkcję operatorów dystrybucyjnych systemów: ciepłowniczego, elektroenergetycznego i </w:t>
      </w:r>
      <w:r>
        <w:rPr>
          <w:rFonts w:ascii="Georgia" w:hAnsi="Georgia"/>
        </w:rPr>
        <w:t>gazowego.</w:t>
      </w:r>
    </w:p>
    <w:p w:rsidR="00400564" w:rsidRPr="001F291D" w:rsidRDefault="00400564" w:rsidP="00775439">
      <w:pPr>
        <w:pStyle w:val="Akapitzlist"/>
        <w:numPr>
          <w:ilvl w:val="0"/>
          <w:numId w:val="3"/>
        </w:numPr>
        <w:rPr>
          <w:rFonts w:ascii="Georgia" w:hAnsi="Georgia"/>
        </w:rPr>
      </w:pPr>
      <w:r w:rsidRPr="001F291D">
        <w:rPr>
          <w:rFonts w:ascii="Georgia" w:hAnsi="Georgia"/>
        </w:rPr>
        <w:t xml:space="preserve">Informacje przekazane przez Zamawiającego (opracowanie). </w:t>
      </w:r>
    </w:p>
    <w:p w:rsidR="00400564" w:rsidRPr="00163FBA" w:rsidRDefault="00400564" w:rsidP="00163FBA">
      <w:pPr>
        <w:pStyle w:val="Nagwek2"/>
      </w:pPr>
      <w:bookmarkStart w:id="28" w:name="_Toc406671424"/>
      <w:bookmarkStart w:id="29" w:name="_Toc409437327"/>
      <w:bookmarkStart w:id="30" w:name="_Toc411239966"/>
      <w:bookmarkStart w:id="31" w:name="_Toc422834382"/>
      <w:bookmarkStart w:id="32" w:name="_Toc427566509"/>
      <w:bookmarkStart w:id="33" w:name="_Toc427675552"/>
      <w:bookmarkStart w:id="34" w:name="_Toc427734952"/>
      <w:r w:rsidRPr="00163FBA">
        <w:lastRenderedPageBreak/>
        <w:t>Akty prawne</w:t>
      </w:r>
      <w:bookmarkEnd w:id="28"/>
      <w:bookmarkEnd w:id="29"/>
      <w:bookmarkEnd w:id="30"/>
      <w:bookmarkEnd w:id="31"/>
      <w:bookmarkEnd w:id="32"/>
      <w:bookmarkEnd w:id="33"/>
      <w:bookmarkEnd w:id="34"/>
    </w:p>
    <w:p w:rsidR="00400564" w:rsidRPr="001F291D" w:rsidRDefault="00400564" w:rsidP="00775439">
      <w:pPr>
        <w:numPr>
          <w:ilvl w:val="0"/>
          <w:numId w:val="4"/>
        </w:numPr>
        <w:spacing w:before="120" w:after="120" w:line="360" w:lineRule="auto"/>
        <w:ind w:left="714" w:hanging="357"/>
        <w:contextualSpacing/>
        <w:rPr>
          <w:szCs w:val="32"/>
        </w:rPr>
      </w:pPr>
      <w:r w:rsidRPr="001F291D">
        <w:rPr>
          <w:szCs w:val="32"/>
        </w:rPr>
        <w:t>Ustawa z dnia 10 kwietnia 1997 r. Prawo energetyczne (tekst jednolity Dz. U. 1997 Nr 54 poz. 348 z </w:t>
      </w:r>
      <w:proofErr w:type="spellStart"/>
      <w:r w:rsidRPr="001F291D">
        <w:rPr>
          <w:szCs w:val="32"/>
        </w:rPr>
        <w:t>późn</w:t>
      </w:r>
      <w:proofErr w:type="spellEnd"/>
      <w:r w:rsidRPr="001F291D">
        <w:rPr>
          <w:szCs w:val="32"/>
        </w:rPr>
        <w:t xml:space="preserve">. zm.), </w:t>
      </w:r>
    </w:p>
    <w:p w:rsidR="00400564" w:rsidRPr="001F291D" w:rsidRDefault="00400564" w:rsidP="00775439">
      <w:pPr>
        <w:numPr>
          <w:ilvl w:val="0"/>
          <w:numId w:val="4"/>
        </w:numPr>
        <w:spacing w:before="120" w:after="120" w:line="360" w:lineRule="auto"/>
        <w:ind w:left="714" w:hanging="357"/>
        <w:contextualSpacing/>
        <w:rPr>
          <w:szCs w:val="32"/>
        </w:rPr>
      </w:pPr>
      <w:r w:rsidRPr="001F291D">
        <w:rPr>
          <w:szCs w:val="32"/>
        </w:rPr>
        <w:t>Ustawa z dnia 8 marca 1990 r. o samorządzie terytorialnym (tekst jednolity Dz. U. 2001 Nr 142 poz. 1591 z </w:t>
      </w:r>
      <w:proofErr w:type="spellStart"/>
      <w:r w:rsidRPr="001F291D">
        <w:rPr>
          <w:szCs w:val="32"/>
        </w:rPr>
        <w:t>późn</w:t>
      </w:r>
      <w:proofErr w:type="spellEnd"/>
      <w:r w:rsidRPr="001F291D">
        <w:rPr>
          <w:szCs w:val="32"/>
        </w:rPr>
        <w:t xml:space="preserve">. zm.), </w:t>
      </w:r>
    </w:p>
    <w:p w:rsidR="00400564" w:rsidRPr="001F291D" w:rsidRDefault="00400564" w:rsidP="00775439">
      <w:pPr>
        <w:numPr>
          <w:ilvl w:val="0"/>
          <w:numId w:val="4"/>
        </w:numPr>
        <w:spacing w:before="120" w:after="120" w:line="360" w:lineRule="auto"/>
        <w:ind w:left="714" w:hanging="357"/>
        <w:contextualSpacing/>
        <w:rPr>
          <w:szCs w:val="32"/>
        </w:rPr>
      </w:pPr>
      <w:r w:rsidRPr="001F291D">
        <w:rPr>
          <w:szCs w:val="32"/>
        </w:rPr>
        <w:t xml:space="preserve">Ustawa z dnia 15 kwietnia 2011 r. o efektywności energetycznej (Dz. U. 2011 Nr 94 poz. 551), </w:t>
      </w:r>
    </w:p>
    <w:p w:rsidR="00400564" w:rsidRPr="001F291D" w:rsidRDefault="00400564" w:rsidP="00775439">
      <w:pPr>
        <w:numPr>
          <w:ilvl w:val="0"/>
          <w:numId w:val="4"/>
        </w:numPr>
        <w:spacing w:before="120" w:after="120" w:line="360" w:lineRule="auto"/>
        <w:ind w:left="714" w:hanging="357"/>
        <w:contextualSpacing/>
        <w:rPr>
          <w:szCs w:val="32"/>
        </w:rPr>
      </w:pPr>
      <w:r w:rsidRPr="001F291D">
        <w:rPr>
          <w:szCs w:val="32"/>
        </w:rPr>
        <w:t xml:space="preserve">Ustawa z dnia 27 kwietnia 2001 r. Prawo ochrony środowiska (Dz. U. z 2013 poz. 1232), </w:t>
      </w:r>
    </w:p>
    <w:p w:rsidR="00400564" w:rsidRPr="001F291D" w:rsidRDefault="00400564" w:rsidP="00775439">
      <w:pPr>
        <w:numPr>
          <w:ilvl w:val="0"/>
          <w:numId w:val="4"/>
        </w:numPr>
        <w:spacing w:before="120" w:after="120" w:line="360" w:lineRule="auto"/>
        <w:ind w:left="714" w:hanging="357"/>
        <w:contextualSpacing/>
        <w:rPr>
          <w:szCs w:val="32"/>
        </w:rPr>
      </w:pPr>
      <w:r w:rsidRPr="001F291D">
        <w:rPr>
          <w:szCs w:val="32"/>
        </w:rPr>
        <w:t>Ustawa z dnia 27 marca 2003 r. o planowaniu i zagospodarowaniu przestrzennym (Dz. U. 2003 nr 80 poz. 717).</w:t>
      </w:r>
    </w:p>
    <w:p w:rsidR="00400564" w:rsidRPr="00163FBA" w:rsidRDefault="00400564" w:rsidP="00163FBA">
      <w:pPr>
        <w:pStyle w:val="Nagwek2"/>
      </w:pPr>
      <w:bookmarkStart w:id="35" w:name="_Toc406671425"/>
      <w:bookmarkStart w:id="36" w:name="_Toc409437328"/>
      <w:bookmarkStart w:id="37" w:name="_Toc411239967"/>
      <w:bookmarkStart w:id="38" w:name="_Toc422834383"/>
      <w:bookmarkStart w:id="39" w:name="_Toc427566510"/>
      <w:bookmarkStart w:id="40" w:name="_Toc427675553"/>
      <w:bookmarkStart w:id="41" w:name="_Toc427734953"/>
      <w:r w:rsidRPr="00163FBA">
        <w:t>Powiązania z dokumentami strategicznymi</w:t>
      </w:r>
      <w:bookmarkEnd w:id="35"/>
      <w:bookmarkEnd w:id="36"/>
      <w:bookmarkEnd w:id="37"/>
      <w:bookmarkEnd w:id="38"/>
      <w:bookmarkEnd w:id="39"/>
      <w:bookmarkEnd w:id="40"/>
      <w:bookmarkEnd w:id="41"/>
    </w:p>
    <w:p w:rsidR="00400564" w:rsidRPr="00163FBA" w:rsidRDefault="00400564" w:rsidP="00163FBA">
      <w:pPr>
        <w:pStyle w:val="Nagwek3"/>
      </w:pPr>
      <w:bookmarkStart w:id="42" w:name="_Toc422834384"/>
      <w:bookmarkStart w:id="43" w:name="_Toc427566511"/>
      <w:bookmarkStart w:id="44" w:name="_Toc427675554"/>
      <w:bookmarkStart w:id="45" w:name="_Toc427734954"/>
      <w:r w:rsidRPr="00163FBA">
        <w:t>Pakiet klimatyczno-energetyczny</w:t>
      </w:r>
      <w:bookmarkEnd w:id="42"/>
      <w:bookmarkEnd w:id="43"/>
      <w:bookmarkEnd w:id="44"/>
      <w:bookmarkEnd w:id="45"/>
    </w:p>
    <w:p w:rsidR="00400564" w:rsidRPr="001F291D" w:rsidRDefault="00400564" w:rsidP="00400564">
      <w:pPr>
        <w:shd w:val="clear" w:color="auto" w:fill="FFFFFF"/>
        <w:spacing w:after="0" w:line="360" w:lineRule="auto"/>
        <w:rPr>
          <w:b/>
          <w:bCs/>
          <w:color w:val="000000"/>
          <w:lang w:eastAsia="pl-PL"/>
        </w:rPr>
      </w:pPr>
      <w:r w:rsidRPr="001F291D">
        <w:rPr>
          <w:bCs/>
          <w:color w:val="000000"/>
          <w:lang w:eastAsia="pl-PL"/>
        </w:rPr>
        <w:t>Pakiet klimatyczno-energetyczny</w:t>
      </w:r>
      <w:r w:rsidRPr="001F291D">
        <w:rPr>
          <w:color w:val="000000"/>
          <w:lang w:eastAsia="pl-PL"/>
        </w:rPr>
        <w:t>, nazywany skrótowo pakietem „3 x 20%” został przyjęty przez Parlament Europejski i przywódców krajów członkowskich UE w marcu 2007 r. Cele wyznaczone w pakiecie są następujące:</w:t>
      </w:r>
    </w:p>
    <w:p w:rsidR="00400564" w:rsidRPr="001F291D" w:rsidRDefault="00400564" w:rsidP="00775439">
      <w:pPr>
        <w:pStyle w:val="Akapitzlist"/>
        <w:numPr>
          <w:ilvl w:val="0"/>
          <w:numId w:val="5"/>
        </w:numPr>
        <w:shd w:val="clear" w:color="auto" w:fill="FFFFFF"/>
        <w:spacing w:before="0" w:after="0"/>
        <w:rPr>
          <w:rFonts w:ascii="Georgia" w:hAnsi="Georgia"/>
          <w:b/>
          <w:bCs/>
          <w:color w:val="000000"/>
          <w:lang w:eastAsia="pl-PL"/>
        </w:rPr>
      </w:pPr>
      <w:r w:rsidRPr="001F291D">
        <w:rPr>
          <w:rFonts w:ascii="Georgia" w:hAnsi="Georgia"/>
          <w:color w:val="000000"/>
          <w:szCs w:val="17"/>
          <w:lang w:eastAsia="pl-PL"/>
        </w:rPr>
        <w:t xml:space="preserve">zmniejszenie emisji gazów cieplarnianych przynajmniej o 20% w 2020 </w:t>
      </w:r>
      <w:proofErr w:type="spellStart"/>
      <w:r w:rsidRPr="001F291D">
        <w:rPr>
          <w:rFonts w:ascii="Georgia" w:hAnsi="Georgia"/>
          <w:color w:val="000000"/>
          <w:szCs w:val="17"/>
          <w:lang w:eastAsia="pl-PL"/>
        </w:rPr>
        <w:t>r.w</w:t>
      </w:r>
      <w:proofErr w:type="spellEnd"/>
      <w:r w:rsidRPr="001F291D">
        <w:rPr>
          <w:rFonts w:ascii="Georgia" w:hAnsi="Georgia"/>
          <w:color w:val="000000"/>
          <w:szCs w:val="17"/>
          <w:lang w:eastAsia="pl-PL"/>
        </w:rPr>
        <w:t> porównaniu do bazowego 1990 r.,</w:t>
      </w:r>
    </w:p>
    <w:p w:rsidR="00400564" w:rsidRPr="001F291D" w:rsidRDefault="00400564" w:rsidP="00775439">
      <w:pPr>
        <w:pStyle w:val="Akapitzlist"/>
        <w:numPr>
          <w:ilvl w:val="0"/>
          <w:numId w:val="5"/>
        </w:numPr>
        <w:shd w:val="clear" w:color="auto" w:fill="FFFFFF"/>
        <w:spacing w:before="0" w:after="0"/>
        <w:rPr>
          <w:rFonts w:ascii="Georgia" w:hAnsi="Georgia"/>
          <w:b/>
          <w:bCs/>
          <w:color w:val="000000"/>
          <w:lang w:eastAsia="pl-PL"/>
        </w:rPr>
      </w:pPr>
      <w:r w:rsidRPr="001F291D">
        <w:rPr>
          <w:rFonts w:ascii="Georgia" w:hAnsi="Georgia"/>
          <w:color w:val="000000"/>
          <w:szCs w:val="17"/>
          <w:lang w:eastAsia="pl-PL"/>
        </w:rPr>
        <w:t xml:space="preserve">zwiększenie udziału energii ze źródeł odnawialnych w zużyciu energii końcowej do 20% w 2020 r., w tym 10% udziału </w:t>
      </w:r>
      <w:proofErr w:type="spellStart"/>
      <w:r w:rsidRPr="001F291D">
        <w:rPr>
          <w:rFonts w:ascii="Georgia" w:hAnsi="Georgia"/>
          <w:color w:val="000000"/>
          <w:szCs w:val="17"/>
          <w:lang w:eastAsia="pl-PL"/>
        </w:rPr>
        <w:t>biopaliw</w:t>
      </w:r>
      <w:proofErr w:type="spellEnd"/>
      <w:r w:rsidRPr="001F291D">
        <w:rPr>
          <w:rFonts w:ascii="Georgia" w:hAnsi="Georgia"/>
          <w:color w:val="000000"/>
          <w:szCs w:val="17"/>
          <w:lang w:eastAsia="pl-PL"/>
        </w:rPr>
        <w:t> w zużyciu paliw pędnych,</w:t>
      </w:r>
    </w:p>
    <w:p w:rsidR="00400564" w:rsidRPr="001F291D" w:rsidRDefault="00400564" w:rsidP="00775439">
      <w:pPr>
        <w:pStyle w:val="Akapitzlist"/>
        <w:numPr>
          <w:ilvl w:val="0"/>
          <w:numId w:val="5"/>
        </w:numPr>
        <w:shd w:val="clear" w:color="auto" w:fill="FFFFFF"/>
        <w:spacing w:before="0" w:after="0"/>
        <w:rPr>
          <w:rFonts w:ascii="Georgia" w:hAnsi="Georgia"/>
          <w:b/>
          <w:bCs/>
          <w:color w:val="000000"/>
          <w:lang w:eastAsia="pl-PL"/>
        </w:rPr>
      </w:pPr>
      <w:r w:rsidRPr="001F291D">
        <w:rPr>
          <w:rFonts w:ascii="Georgia" w:hAnsi="Georgia"/>
          <w:color w:val="000000"/>
          <w:szCs w:val="17"/>
          <w:lang w:eastAsia="pl-PL"/>
        </w:rPr>
        <w:t>zwiększenie efektywności wykorzystania energii o 20% do 2020 r. w porównaniu do prognozy zapotrzebowania na paliwa i energię.</w:t>
      </w:r>
    </w:p>
    <w:p w:rsidR="00400564" w:rsidRPr="00163FBA" w:rsidRDefault="00400564" w:rsidP="00163FBA">
      <w:pPr>
        <w:pStyle w:val="Nagwek3"/>
        <w:jc w:val="both"/>
      </w:pPr>
      <w:bookmarkStart w:id="46" w:name="_Toc422834385"/>
      <w:bookmarkStart w:id="47" w:name="_Toc427566512"/>
      <w:bookmarkStart w:id="48" w:name="_Toc427675555"/>
      <w:bookmarkStart w:id="49" w:name="_Toc427734955"/>
      <w:r w:rsidRPr="00163FBA">
        <w:t>Dyrektywa 2006/32/WE w sprawie efektywności końcowego wykorzystania energii i usług energetycznych oraz uchylająca dyrektywę Rady 93/76/EWG</w:t>
      </w:r>
      <w:bookmarkEnd w:id="46"/>
      <w:bookmarkEnd w:id="47"/>
      <w:bookmarkEnd w:id="48"/>
      <w:bookmarkEnd w:id="49"/>
    </w:p>
    <w:p w:rsidR="00400564" w:rsidRPr="001F291D" w:rsidRDefault="00400564" w:rsidP="00400564">
      <w:pPr>
        <w:spacing w:line="360" w:lineRule="auto"/>
        <w:rPr>
          <w:rFonts w:cs="Arial"/>
          <w:szCs w:val="18"/>
          <w:shd w:val="clear" w:color="auto" w:fill="FFFFFF"/>
        </w:rPr>
      </w:pPr>
      <w:r w:rsidRPr="001F291D">
        <w:rPr>
          <w:rFonts w:cs="Arial"/>
          <w:szCs w:val="18"/>
          <w:shd w:val="clear" w:color="auto" w:fill="FFFFFF"/>
        </w:rPr>
        <w:t>Dyrektywa ustanawia wspólne ramy działań na rzecz promowania efektywności energetycznej w UE dla osiągnięcia jej celu – wzrostu efektywności energetycznej o 20% (zmniejszenie zużycia energii pierwotnej o 20%) do 2020 r. oraz utorowania drogi dla dalszej poprawy efektywności energetycznej po tym terminie. Ponadto, określa zasady opracowane</w:t>
      </w:r>
      <w:r>
        <w:rPr>
          <w:rFonts w:cs="Arial"/>
          <w:szCs w:val="18"/>
          <w:shd w:val="clear" w:color="auto" w:fill="FFFFFF"/>
        </w:rPr>
        <w:t xml:space="preserve"> w </w:t>
      </w:r>
      <w:r w:rsidRPr="001F291D">
        <w:rPr>
          <w:rFonts w:cs="Arial"/>
          <w:szCs w:val="18"/>
          <w:shd w:val="clear" w:color="auto" w:fill="FFFFFF"/>
        </w:rPr>
        <w:t>celu usunięcia barier na rynku energii oraz p</w:t>
      </w:r>
      <w:r>
        <w:rPr>
          <w:rFonts w:cs="Arial"/>
          <w:szCs w:val="18"/>
          <w:shd w:val="clear" w:color="auto" w:fill="FFFFFF"/>
        </w:rPr>
        <w:t xml:space="preserve">rzezwyciężenia nieprawidłowości </w:t>
      </w:r>
      <w:r w:rsidRPr="001F291D">
        <w:rPr>
          <w:rFonts w:cs="Arial"/>
          <w:szCs w:val="18"/>
          <w:shd w:val="clear" w:color="auto" w:fill="FFFFFF"/>
        </w:rPr>
        <w:t>w funkcjonowaniu rynku. Przewiduje również ustanowienie krajowych celów w zakresie efektywności energetycznej na rok 2020.</w:t>
      </w:r>
    </w:p>
    <w:p w:rsidR="00400564" w:rsidRDefault="00400564" w:rsidP="00400564">
      <w:pPr>
        <w:spacing w:line="360" w:lineRule="auto"/>
        <w:rPr>
          <w:szCs w:val="32"/>
        </w:rPr>
      </w:pPr>
      <w:r w:rsidRPr="001F291D">
        <w:rPr>
          <w:rFonts w:cs="Arial"/>
          <w:szCs w:val="18"/>
          <w:shd w:val="clear" w:color="auto" w:fill="FFFFFF"/>
        </w:rPr>
        <w:t xml:space="preserve">Zgodnie z dyrektywą, </w:t>
      </w:r>
      <w:r w:rsidRPr="001F291D">
        <w:rPr>
          <w:szCs w:val="32"/>
        </w:rPr>
        <w:t xml:space="preserve">sektor publiczny w państwach członkowskich powinien dawać </w:t>
      </w:r>
      <w:proofErr w:type="spellStart"/>
      <w:r w:rsidRPr="001F291D">
        <w:rPr>
          <w:szCs w:val="32"/>
        </w:rPr>
        <w:t>przykładw</w:t>
      </w:r>
      <w:proofErr w:type="spellEnd"/>
      <w:r w:rsidRPr="001F291D">
        <w:rPr>
          <w:szCs w:val="32"/>
        </w:rPr>
        <w:t> zakresie inwestycji, utrzymania</w:t>
      </w:r>
      <w:r>
        <w:rPr>
          <w:szCs w:val="32"/>
        </w:rPr>
        <w:t xml:space="preserve"> i </w:t>
      </w:r>
      <w:r w:rsidRPr="001F291D">
        <w:rPr>
          <w:szCs w:val="32"/>
        </w:rPr>
        <w:t xml:space="preserve">innych wydatków na urządzenia zużywające energię, usługi energetyczne i inne środki poprawy efektywności </w:t>
      </w:r>
      <w:proofErr w:type="spellStart"/>
      <w:r w:rsidRPr="001F291D">
        <w:rPr>
          <w:szCs w:val="32"/>
        </w:rPr>
        <w:t>energetycznej.W</w:t>
      </w:r>
      <w:proofErr w:type="spellEnd"/>
      <w:r w:rsidRPr="001F291D">
        <w:rPr>
          <w:szCs w:val="32"/>
        </w:rPr>
        <w:t xml:space="preserve"> dyrektywie </w:t>
      </w:r>
      <w:r w:rsidRPr="001F291D">
        <w:rPr>
          <w:szCs w:val="32"/>
        </w:rPr>
        <w:lastRenderedPageBreak/>
        <w:t>określono, iż państwa członkowskie powinny dążyć do osiągnięcia oszczędności w zakresie wykorzystania energii w wysokości 9% w dziewiątym roku stosowania dyrektywy (licząc od 1 stycznia 2008 r.). Tak więc również na terenie Polski,</w:t>
      </w:r>
      <w:r>
        <w:rPr>
          <w:szCs w:val="32"/>
        </w:rPr>
        <w:t xml:space="preserve"> w tym w gminie Strawczyn</w:t>
      </w:r>
      <w:r w:rsidRPr="001F291D">
        <w:rPr>
          <w:szCs w:val="32"/>
        </w:rPr>
        <w:t>, konieczne jest wdrożenie przedsięwzięć wpływających na zmniejszenie wykorzystania energii oraz promujących wśród mieszkańców postawy związane z oszczędzaniem konwencjonalnych źródeł energii.</w:t>
      </w:r>
    </w:p>
    <w:p w:rsidR="00400564" w:rsidRPr="00163FBA" w:rsidRDefault="00400564" w:rsidP="00163FBA">
      <w:pPr>
        <w:pStyle w:val="Nagwek3"/>
        <w:jc w:val="both"/>
      </w:pPr>
      <w:bookmarkStart w:id="50" w:name="_Toc422834386"/>
      <w:bookmarkStart w:id="51" w:name="_Toc427566513"/>
      <w:bookmarkStart w:id="52" w:name="_Toc427675556"/>
      <w:bookmarkStart w:id="53" w:name="_Toc427734956"/>
      <w:r w:rsidRPr="00163FBA">
        <w:t>Dyrektywa 2009/28/WE z dnia 23 kwietnia 2009 r. w sprawie promowania stosowania energii ze źródeł odnawialnych zmieniająca </w:t>
      </w:r>
      <w:r w:rsidRPr="00163FBA">
        <w:br/>
        <w:t>i w następstwie uchylająca dyrektywy 2001/77/WE oraz 2003/30/WE</w:t>
      </w:r>
      <w:bookmarkEnd w:id="50"/>
      <w:bookmarkEnd w:id="51"/>
      <w:bookmarkEnd w:id="52"/>
      <w:bookmarkEnd w:id="53"/>
    </w:p>
    <w:p w:rsidR="00400564" w:rsidRPr="001F291D" w:rsidRDefault="00400564" w:rsidP="00400564">
      <w:pPr>
        <w:spacing w:line="360" w:lineRule="auto"/>
        <w:rPr>
          <w:rFonts w:cs="Arial"/>
          <w:szCs w:val="18"/>
          <w:shd w:val="clear" w:color="auto" w:fill="FFFFFF"/>
        </w:rPr>
      </w:pPr>
      <w:r w:rsidRPr="001F291D">
        <w:rPr>
          <w:rFonts w:cs="Arial"/>
          <w:szCs w:val="18"/>
          <w:shd w:val="clear" w:color="auto" w:fill="FFFFFF"/>
        </w:rPr>
        <w:t xml:space="preserve">Dyrektywa 2009/28/WE ustanawia wspólne ramy stosowania energii ze źródeł odnawialnych, aby ograniczyć emisje gazów cieplarnianych i promować transport mniej szkodliwy dla środowiska naturalnego. W tym celu opracowane zostają krajowe plany działań oraz metody wykorzystywania </w:t>
      </w:r>
      <w:proofErr w:type="spellStart"/>
      <w:r w:rsidRPr="001F291D">
        <w:rPr>
          <w:rFonts w:cs="Arial"/>
          <w:szCs w:val="18"/>
          <w:shd w:val="clear" w:color="auto" w:fill="FFFFFF"/>
        </w:rPr>
        <w:t>biopaliw</w:t>
      </w:r>
      <w:proofErr w:type="spellEnd"/>
      <w:r w:rsidRPr="001F291D">
        <w:rPr>
          <w:rFonts w:cs="Arial"/>
          <w:szCs w:val="18"/>
          <w:shd w:val="clear" w:color="auto" w:fill="FFFFFF"/>
        </w:rPr>
        <w:t>.</w:t>
      </w:r>
    </w:p>
    <w:p w:rsidR="00400564" w:rsidRPr="001F291D" w:rsidRDefault="00400564" w:rsidP="00400564">
      <w:pPr>
        <w:spacing w:line="360" w:lineRule="auto"/>
        <w:rPr>
          <w:szCs w:val="20"/>
        </w:rPr>
      </w:pPr>
      <w:r w:rsidRPr="001F291D">
        <w:rPr>
          <w:szCs w:val="20"/>
        </w:rPr>
        <w:t>Państwa członkowskie muszą przyjąć krajowe plany działania, które określają udział energii ze źródeł odnawialnych zużywany w sektorze transportu oraz energii elektrycznej i ogrzewania na rok 2020. W tych planach należy uwzględnić wpływ innych środków polityki efektywności energetycznej na końcowe zużycie energii (im większa redukcja zużycia energii, tym mniej energii ze źródeł odnawialnych potrzeba do osiągnięcia celu). W planach należy również ustanowić procedury usprawniania systemów planowania, opłat</w:t>
      </w:r>
      <w:r>
        <w:rPr>
          <w:szCs w:val="20"/>
        </w:rPr>
        <w:t xml:space="preserve"> i </w:t>
      </w:r>
      <w:r w:rsidRPr="001F291D">
        <w:rPr>
          <w:szCs w:val="20"/>
        </w:rPr>
        <w:t>dostępu energii ze źródeł odnawialnych do sieci elektroenergetycznej.</w:t>
      </w:r>
    </w:p>
    <w:p w:rsidR="00400564" w:rsidRPr="00163FBA" w:rsidRDefault="00400564" w:rsidP="00163FBA">
      <w:pPr>
        <w:pStyle w:val="Nagwek3"/>
      </w:pPr>
      <w:bookmarkStart w:id="54" w:name="_Toc422834387"/>
      <w:bookmarkStart w:id="55" w:name="_Toc427566514"/>
      <w:bookmarkStart w:id="56" w:name="_Toc427675557"/>
      <w:bookmarkStart w:id="57" w:name="_Toc427734957"/>
      <w:r w:rsidRPr="00163FBA">
        <w:t>Polityka energetyczna Polski do 2030 roku</w:t>
      </w:r>
      <w:bookmarkEnd w:id="54"/>
      <w:bookmarkEnd w:id="55"/>
      <w:bookmarkEnd w:id="56"/>
      <w:bookmarkEnd w:id="57"/>
    </w:p>
    <w:p w:rsidR="00400564" w:rsidRPr="001F291D" w:rsidRDefault="00400564" w:rsidP="00400564">
      <w:pPr>
        <w:spacing w:line="360" w:lineRule="auto"/>
      </w:pPr>
      <w:r w:rsidRPr="001F291D">
        <w:t>Krajowym dokumentem, który wyznacza kierunki działań w celu ograniczenia niskiej emisji jest „Polityka energetyczna Polski do 2030 roku”. Dokument ten, poprzez działania inicjowane na szczeblu krajowym, wpisuje się w realizację celów polityki energetycznej określonych na poziomie Wspólnoty.</w:t>
      </w:r>
      <w:r w:rsidRPr="001F291D">
        <w:br/>
        <w:t xml:space="preserve">W związku z powyższym, podstawowymi kierunkami polskiej polityki energetycznej są: </w:t>
      </w:r>
    </w:p>
    <w:p w:rsidR="00400564" w:rsidRPr="001F291D" w:rsidRDefault="00400564" w:rsidP="00775439">
      <w:pPr>
        <w:numPr>
          <w:ilvl w:val="0"/>
          <w:numId w:val="7"/>
        </w:numPr>
        <w:spacing w:before="120" w:after="120" w:line="360" w:lineRule="auto"/>
        <w:contextualSpacing/>
      </w:pPr>
      <w:r w:rsidRPr="001F291D">
        <w:t>poprawa efektywności energetycznej,</w:t>
      </w:r>
    </w:p>
    <w:p w:rsidR="00400564" w:rsidRPr="001F291D" w:rsidRDefault="00400564" w:rsidP="00775439">
      <w:pPr>
        <w:numPr>
          <w:ilvl w:val="0"/>
          <w:numId w:val="7"/>
        </w:numPr>
        <w:spacing w:before="120" w:after="120" w:line="360" w:lineRule="auto"/>
        <w:contextualSpacing/>
      </w:pPr>
      <w:r w:rsidRPr="001F291D">
        <w:t>wzrost bezpieczeństwa dostaw paliw i energii,</w:t>
      </w:r>
    </w:p>
    <w:p w:rsidR="00400564" w:rsidRPr="001F291D" w:rsidRDefault="00400564" w:rsidP="00775439">
      <w:pPr>
        <w:numPr>
          <w:ilvl w:val="0"/>
          <w:numId w:val="7"/>
        </w:numPr>
        <w:spacing w:before="120" w:after="120" w:line="360" w:lineRule="auto"/>
        <w:contextualSpacing/>
      </w:pPr>
      <w:r w:rsidRPr="001F291D">
        <w:t>dywersyfikacja struktury wytwarzania energii elektrycznej poprzez wprowadzenie energetyki jądrowej,</w:t>
      </w:r>
    </w:p>
    <w:p w:rsidR="00400564" w:rsidRPr="001F291D" w:rsidRDefault="00400564" w:rsidP="00775439">
      <w:pPr>
        <w:numPr>
          <w:ilvl w:val="0"/>
          <w:numId w:val="7"/>
        </w:numPr>
        <w:spacing w:before="120" w:after="120" w:line="360" w:lineRule="auto"/>
        <w:contextualSpacing/>
      </w:pPr>
      <w:r w:rsidRPr="001F291D">
        <w:t xml:space="preserve">rozwój wykorzystania odnawialnych źródeł energii, w tym </w:t>
      </w:r>
      <w:proofErr w:type="spellStart"/>
      <w:r w:rsidRPr="001F291D">
        <w:t>biopaliw</w:t>
      </w:r>
      <w:proofErr w:type="spellEnd"/>
      <w:r w:rsidRPr="001F291D">
        <w:t>,</w:t>
      </w:r>
    </w:p>
    <w:p w:rsidR="00400564" w:rsidRPr="001F291D" w:rsidRDefault="00400564" w:rsidP="00775439">
      <w:pPr>
        <w:numPr>
          <w:ilvl w:val="0"/>
          <w:numId w:val="7"/>
        </w:numPr>
        <w:spacing w:before="120" w:after="120" w:line="360" w:lineRule="auto"/>
        <w:contextualSpacing/>
      </w:pPr>
      <w:r w:rsidRPr="001F291D">
        <w:t>rozwój konkurencyjnych rynków paliw i energii,</w:t>
      </w:r>
    </w:p>
    <w:p w:rsidR="00400564" w:rsidRPr="001F291D" w:rsidRDefault="00400564" w:rsidP="00775439">
      <w:pPr>
        <w:numPr>
          <w:ilvl w:val="0"/>
          <w:numId w:val="7"/>
        </w:numPr>
        <w:spacing w:before="120" w:after="120" w:line="360" w:lineRule="auto"/>
        <w:contextualSpacing/>
      </w:pPr>
      <w:r w:rsidRPr="001F291D">
        <w:t>ograniczenie oddziaływania energetyki na środowisko.</w:t>
      </w:r>
    </w:p>
    <w:p w:rsidR="00400564" w:rsidRPr="001F291D" w:rsidRDefault="00400564" w:rsidP="00400564">
      <w:pPr>
        <w:spacing w:after="0" w:line="360" w:lineRule="auto"/>
      </w:pPr>
      <w:r w:rsidRPr="001F291D">
        <w:t xml:space="preserve">Wdrożenie proponowanych działań istotnie wpłynie na zmniejszenie energochłonności polskiej gospodarki, a co za tym idzie zwiększenie bezpieczeństwa energetycznego. Przełoży </w:t>
      </w:r>
      <w:r w:rsidRPr="001F291D">
        <w:lastRenderedPageBreak/>
        <w:t xml:space="preserve">się to również na mierzalny efekt w postaci redukcji emisji gazów cieplarnianych </w:t>
      </w:r>
      <w:r w:rsidRPr="001F291D">
        <w:br/>
        <w:t>i zanieczyszczeń w sektorze energetycznym.</w:t>
      </w:r>
    </w:p>
    <w:p w:rsidR="00400564" w:rsidRPr="00163FBA" w:rsidRDefault="00400564" w:rsidP="00163FBA">
      <w:pPr>
        <w:pStyle w:val="Nagwek3"/>
      </w:pPr>
      <w:bookmarkStart w:id="58" w:name="_Toc422834388"/>
      <w:bookmarkStart w:id="59" w:name="_Toc427566515"/>
      <w:bookmarkStart w:id="60" w:name="_Toc427675558"/>
      <w:bookmarkStart w:id="61" w:name="_Toc427734958"/>
      <w:r w:rsidRPr="00163FBA">
        <w:t>Krajowy plan działania w zakresie energii ze źródeł odnawialnych</w:t>
      </w:r>
      <w:bookmarkEnd w:id="58"/>
      <w:bookmarkEnd w:id="59"/>
      <w:bookmarkEnd w:id="60"/>
      <w:bookmarkEnd w:id="61"/>
    </w:p>
    <w:p w:rsidR="00400564" w:rsidRPr="001F291D" w:rsidRDefault="00400564" w:rsidP="00400564">
      <w:pPr>
        <w:spacing w:line="360" w:lineRule="auto"/>
      </w:pPr>
      <w:r w:rsidRPr="001F291D">
        <w:t>Dokument ten określa krajowe cele w zakresie energii ze źródeł odnawialnych wykorzystywanych w transporcie oraz produkcji energii elektrycznej i cieplnej do 2020 roku. Cele te uwzględniają wpływ innych środków polityki efektywności energetycznej na końcowe zużycie energii oraz odpowiednie środki, które należy podjąć dla osiągnięcia krajowych celów ogólnych w zakresie udziału OZE w wykorzystaniu energii finalnej. Ponadto krajowy plan działania w zakresie energii ze źródeł odnawialnych określa współpracę między organ</w:t>
      </w:r>
      <w:r>
        <w:t xml:space="preserve">ami władzy lokalnej, regionalnej i </w:t>
      </w:r>
      <w:r w:rsidRPr="001F291D">
        <w:t xml:space="preserve">krajowej, szacowaną nadwyżkę energii ze źródeł odnawialnych, która mogłaby zostać przekazana innym państwom członkowskim, strategię ukierunkowaną na rozwój istniejących zasobów </w:t>
      </w:r>
      <w:proofErr w:type="spellStart"/>
      <w:r w:rsidRPr="001F291D">
        <w:t>biomasyi</w:t>
      </w:r>
      <w:proofErr w:type="spellEnd"/>
      <w:r w:rsidRPr="001F291D">
        <w:t xml:space="preserve"> zmobilizowanie nowych zasobów biomasy do różnych zastosowań, a także środki, które należy podjąć w celu wypełnienia stosownych zobowiązań wynikających z dyrektywy 2009/28/WE. </w:t>
      </w:r>
    </w:p>
    <w:p w:rsidR="00400564" w:rsidRPr="00163FBA" w:rsidRDefault="00400564" w:rsidP="00163FBA">
      <w:pPr>
        <w:pStyle w:val="Nagwek2"/>
      </w:pPr>
      <w:bookmarkStart w:id="62" w:name="_Toc427566516"/>
      <w:bookmarkStart w:id="63" w:name="_Toc427675559"/>
      <w:bookmarkStart w:id="64" w:name="_Toc427734959"/>
      <w:r w:rsidRPr="00163FBA">
        <w:t>Metodyka planowania energetycznego</w:t>
      </w:r>
      <w:bookmarkEnd w:id="62"/>
      <w:bookmarkEnd w:id="63"/>
      <w:bookmarkEnd w:id="64"/>
    </w:p>
    <w:p w:rsidR="00400564" w:rsidRPr="001F291D" w:rsidRDefault="00400564" w:rsidP="00400564">
      <w:pPr>
        <w:spacing w:line="360" w:lineRule="auto"/>
      </w:pPr>
      <w:r w:rsidRPr="001F291D">
        <w:t xml:space="preserve">Kluczowym elementem planowania energetycznego jest określenie aktualnych i prognozowanych potrzeb energetycznych na danym obszarze. Ocena potrzeb energetycznych w skali gminy i miasta jest zadaniem złożonym i wymaga przeprowadzenia analizy zapotrzebowania na nośniki energii. Analiza ta może zostać </w:t>
      </w:r>
      <w:proofErr w:type="spellStart"/>
      <w:r w:rsidRPr="001F291D">
        <w:t>przeprowadzonaw</w:t>
      </w:r>
      <w:proofErr w:type="spellEnd"/>
      <w:r w:rsidRPr="001F291D">
        <w:t> dwojaki sposób:</w:t>
      </w:r>
    </w:p>
    <w:p w:rsidR="00400564" w:rsidRPr="001F291D" w:rsidRDefault="00400564" w:rsidP="00775439">
      <w:pPr>
        <w:numPr>
          <w:ilvl w:val="0"/>
          <w:numId w:val="8"/>
        </w:numPr>
        <w:spacing w:before="120" w:after="120" w:line="360" w:lineRule="auto"/>
        <w:contextualSpacing/>
      </w:pPr>
      <w:r w:rsidRPr="001F291D">
        <w:t xml:space="preserve">metodą wskaźnikową, </w:t>
      </w:r>
    </w:p>
    <w:p w:rsidR="00400564" w:rsidRPr="001F291D" w:rsidRDefault="00400564" w:rsidP="00775439">
      <w:pPr>
        <w:numPr>
          <w:ilvl w:val="0"/>
          <w:numId w:val="8"/>
        </w:numPr>
        <w:spacing w:before="120" w:after="120" w:line="360" w:lineRule="auto"/>
        <w:contextualSpacing/>
      </w:pPr>
      <w:r w:rsidRPr="001F291D">
        <w:t>metodą uproszczonych audytów energetycznych lub badań ankietowych.</w:t>
      </w:r>
    </w:p>
    <w:p w:rsidR="00400564" w:rsidRPr="001F291D" w:rsidRDefault="00400564" w:rsidP="00400564">
      <w:pPr>
        <w:spacing w:line="360" w:lineRule="auto"/>
      </w:pPr>
      <w:r w:rsidRPr="001F291D">
        <w:t xml:space="preserve">Metoda ankietowa jest czasochłonna i wymaga dotarcia do wszystkich odbiorców energii. Metoda ta, choć teoretycznie powinna być bardziej dokładna, często okazuje się zawodna, gdyż zwykle nie udaje się uzyskać niezbędnych informacji od wszystkich ankietowanych. Zazwyczaj liczba uzyskanych odpowiedzi nie przekracza 60%. Ponadto metoda ankietowa obarczona jest licznymi błędami, wynikającymi z niedostatecznego poziomu wiedzy ankietowanych w zakresie tematyki energetycznej. </w:t>
      </w:r>
    </w:p>
    <w:p w:rsidR="00400564" w:rsidRPr="001F291D" w:rsidRDefault="00400564" w:rsidP="00400564">
      <w:pPr>
        <w:spacing w:line="360" w:lineRule="auto"/>
      </w:pPr>
      <w:r w:rsidRPr="001F291D">
        <w:t xml:space="preserve">Metoda ta jest zalecana do analizy zużycia energii przez dużych odbiorców energii, którzy posiadają kadrę dysponującą szczegółową wiedzą na ten temat i od których znacznie łatwiej uzyskać jest wiarygodne dane. </w:t>
      </w:r>
    </w:p>
    <w:p w:rsidR="00400564" w:rsidRPr="001F291D" w:rsidRDefault="00400564" w:rsidP="00400564">
      <w:pPr>
        <w:spacing w:line="360" w:lineRule="auto"/>
      </w:pPr>
      <w:r w:rsidRPr="001F291D">
        <w:t xml:space="preserve">W przypadku planowania energetycznego na terenie gmin i miast najczęściej wykorzystuje się metodę wskaźnikową. Analiza przeprowadzona taką metodą jest obarczona większym błędem niż analiza przeprowadzona na podstawie prawidłowo wypełnionych ankiet. Niemniej jednak, </w:t>
      </w:r>
      <w:r w:rsidRPr="001F291D">
        <w:lastRenderedPageBreak/>
        <w:t xml:space="preserve">przy braku możliwości dokładnego i rzetelnego </w:t>
      </w:r>
      <w:proofErr w:type="spellStart"/>
      <w:r w:rsidRPr="001F291D">
        <w:t>zankietyzowania</w:t>
      </w:r>
      <w:proofErr w:type="spellEnd"/>
      <w:r w:rsidRPr="001F291D">
        <w:t xml:space="preserve"> każdego odbiorcy energii na terenie gminy, czy miasta metoda wskaźnikowa może być równie wiarygodna. W niniejszym opracowaniu posłużono się zarówno metodą ankietową, jak i wskaźnikową. </w:t>
      </w:r>
    </w:p>
    <w:p w:rsidR="00244A1D" w:rsidRPr="00163FBA" w:rsidRDefault="00244A1D" w:rsidP="00163FBA">
      <w:pPr>
        <w:pStyle w:val="Nagwek2"/>
      </w:pPr>
      <w:bookmarkStart w:id="65" w:name="_Toc401062320"/>
      <w:bookmarkStart w:id="66" w:name="_Toc407553907"/>
      <w:bookmarkStart w:id="67" w:name="_Toc425192276"/>
      <w:bookmarkStart w:id="68" w:name="_Toc427675560"/>
      <w:bookmarkStart w:id="69" w:name="_Toc427734960"/>
      <w:r w:rsidRPr="00163FBA">
        <w:t>Wymiar regionalny</w:t>
      </w:r>
      <w:bookmarkEnd w:id="65"/>
      <w:bookmarkEnd w:id="66"/>
      <w:bookmarkEnd w:id="67"/>
      <w:bookmarkEnd w:id="68"/>
      <w:bookmarkEnd w:id="69"/>
    </w:p>
    <w:p w:rsidR="00244A1D" w:rsidRPr="00281562" w:rsidRDefault="00244A1D" w:rsidP="00244A1D">
      <w:pPr>
        <w:rPr>
          <w:rFonts w:ascii="Cambria Math" w:hAnsi="Cambria Math" w:cstheme="minorHAnsi"/>
          <w:sz w:val="24"/>
          <w:szCs w:val="24"/>
        </w:rPr>
      </w:pPr>
      <w:r w:rsidRPr="00281562">
        <w:rPr>
          <w:rFonts w:ascii="Cambria Math" w:hAnsi="Cambria Math" w:cstheme="minorHAnsi"/>
          <w:sz w:val="24"/>
          <w:szCs w:val="24"/>
        </w:rPr>
        <w:t>Niniejszy dokument jest spójny z dokumentami strategicznymi obowiązującymi na terenie województwa świętokrzyskiego i powiatu kieleckiego:</w:t>
      </w:r>
    </w:p>
    <w:p w:rsidR="00244A1D" w:rsidRPr="00281562" w:rsidRDefault="00244A1D" w:rsidP="00775439">
      <w:pPr>
        <w:pStyle w:val="Akapitzlist"/>
        <w:numPr>
          <w:ilvl w:val="0"/>
          <w:numId w:val="9"/>
        </w:numPr>
        <w:rPr>
          <w:rFonts w:ascii="Cambria Math" w:hAnsi="Cambria Math"/>
          <w:sz w:val="24"/>
          <w:szCs w:val="24"/>
        </w:rPr>
      </w:pPr>
      <w:r w:rsidRPr="00281562">
        <w:rPr>
          <w:rFonts w:ascii="Cambria Math" w:hAnsi="Cambria Math"/>
          <w:sz w:val="24"/>
          <w:szCs w:val="24"/>
        </w:rPr>
        <w:t>Regionalny Program Operacyjny Województwa Świętokrzyskiego na lata 2014 – 2020,</w:t>
      </w:r>
    </w:p>
    <w:p w:rsidR="00244A1D" w:rsidRPr="00281562" w:rsidRDefault="00244A1D" w:rsidP="00775439">
      <w:pPr>
        <w:pStyle w:val="Akapitzlist"/>
        <w:numPr>
          <w:ilvl w:val="0"/>
          <w:numId w:val="9"/>
        </w:numPr>
        <w:rPr>
          <w:rFonts w:ascii="Cambria Math" w:hAnsi="Cambria Math"/>
          <w:sz w:val="24"/>
          <w:szCs w:val="24"/>
        </w:rPr>
      </w:pPr>
      <w:r w:rsidRPr="00281562">
        <w:rPr>
          <w:rFonts w:ascii="Cambria Math" w:hAnsi="Cambria Math"/>
          <w:sz w:val="24"/>
          <w:szCs w:val="24"/>
        </w:rPr>
        <w:t>Program ochrony środowiska dla powiatu kieleckiego,</w:t>
      </w:r>
    </w:p>
    <w:p w:rsidR="00244A1D" w:rsidRPr="00281562" w:rsidRDefault="00244A1D" w:rsidP="00775439">
      <w:pPr>
        <w:pStyle w:val="Akapitzlist"/>
        <w:numPr>
          <w:ilvl w:val="0"/>
          <w:numId w:val="9"/>
        </w:numPr>
        <w:rPr>
          <w:rFonts w:ascii="Cambria Math" w:hAnsi="Cambria Math"/>
          <w:sz w:val="24"/>
          <w:szCs w:val="24"/>
        </w:rPr>
      </w:pPr>
      <w:r w:rsidRPr="00281562">
        <w:rPr>
          <w:rFonts w:ascii="Cambria Math" w:hAnsi="Cambria Math"/>
          <w:sz w:val="24"/>
          <w:szCs w:val="24"/>
        </w:rPr>
        <w:t>Program ochrony środowiska dla powiatu kieleckiego - aktualizacja na lata 2012-2015</w:t>
      </w:r>
    </w:p>
    <w:p w:rsidR="00244A1D" w:rsidRPr="00281562" w:rsidRDefault="00244A1D" w:rsidP="00775439">
      <w:pPr>
        <w:pStyle w:val="Akapitzlist"/>
        <w:numPr>
          <w:ilvl w:val="0"/>
          <w:numId w:val="9"/>
        </w:numPr>
        <w:rPr>
          <w:rFonts w:ascii="Cambria Math" w:hAnsi="Cambria Math"/>
          <w:sz w:val="24"/>
          <w:szCs w:val="24"/>
        </w:rPr>
      </w:pPr>
      <w:r w:rsidRPr="00281562">
        <w:rPr>
          <w:rFonts w:ascii="Cambria Math" w:hAnsi="Cambria Math"/>
          <w:sz w:val="24"/>
          <w:szCs w:val="24"/>
        </w:rPr>
        <w:t>Program ochrony środowiska dla województwa świętokrzyskiego</w:t>
      </w:r>
    </w:p>
    <w:p w:rsidR="00244A1D" w:rsidRPr="00244A1D" w:rsidRDefault="00244A1D" w:rsidP="00163FBA">
      <w:pPr>
        <w:spacing w:line="360" w:lineRule="auto"/>
        <w:jc w:val="left"/>
        <w:rPr>
          <w:b/>
        </w:rPr>
      </w:pPr>
      <w:r w:rsidRPr="00163FBA">
        <w:rPr>
          <w:b/>
          <w:sz w:val="20"/>
          <w:szCs w:val="20"/>
        </w:rPr>
        <w:t>Regionalny Program Operacyjny Województwa Świętokrzyskiego na lata</w:t>
      </w:r>
      <w:r w:rsidR="00163FBA" w:rsidRPr="00163FBA">
        <w:rPr>
          <w:b/>
          <w:sz w:val="20"/>
          <w:szCs w:val="20"/>
        </w:rPr>
        <w:t xml:space="preserve">   2014–</w:t>
      </w:r>
      <w:r w:rsidRPr="00163FBA">
        <w:rPr>
          <w:b/>
          <w:sz w:val="20"/>
          <w:szCs w:val="20"/>
        </w:rPr>
        <w:t>2020</w:t>
      </w:r>
      <w:r w:rsidRPr="00281562">
        <w:rPr>
          <w:rFonts w:ascii="Cambria Math" w:hAnsi="Cambria Math"/>
        </w:rPr>
        <w:br/>
      </w:r>
      <w:r w:rsidRPr="00244A1D">
        <w:t>W ramach osi priorytetowej 3 – Efektywna i zielona energia zostały wyznaczone cztery priorytety inwestycyjne.</w:t>
      </w:r>
    </w:p>
    <w:p w:rsidR="00244A1D" w:rsidRPr="00244A1D" w:rsidRDefault="00244A1D" w:rsidP="00244A1D">
      <w:pPr>
        <w:spacing w:line="360" w:lineRule="auto"/>
        <w:rPr>
          <w:b/>
          <w:i/>
        </w:rPr>
      </w:pPr>
      <w:r w:rsidRPr="00244A1D">
        <w:rPr>
          <w:b/>
          <w:i/>
        </w:rPr>
        <w:t xml:space="preserve">Priorytet inwestycyjny 4a wspieranie wytwarzania i dystrybucji energii pochodzącej ze źródeł odnawialnych </w:t>
      </w:r>
    </w:p>
    <w:p w:rsidR="00400564" w:rsidRPr="00244A1D" w:rsidRDefault="00244A1D" w:rsidP="00244A1D">
      <w:pPr>
        <w:spacing w:line="360" w:lineRule="auto"/>
        <w:rPr>
          <w:b/>
          <w:i/>
        </w:rPr>
      </w:pPr>
      <w:r w:rsidRPr="00244A1D">
        <w:rPr>
          <w:b/>
          <w:i/>
        </w:rPr>
        <w:t>Cel szczegółowy: Zwiększony udział energii produkowanej z OZE w ogólnej produkcji energii w województwie świętokrzyskim.</w:t>
      </w:r>
    </w:p>
    <w:p w:rsidR="00244A1D" w:rsidRPr="00244A1D" w:rsidRDefault="00244A1D" w:rsidP="00244A1D">
      <w:pPr>
        <w:spacing w:line="360" w:lineRule="auto"/>
      </w:pPr>
      <w:r w:rsidRPr="00244A1D">
        <w:t xml:space="preserve">Przewidziane do realizacji inwestycje w sektorze energetyki mają na celu zwiększenie produkcji oraz wykorzystania energii wytwarzanej ze źródeł odnawialnych. Dzięki dużej różnorodności środowiska naturalnego, którą charakteryzuje się województwo świętokrzyskie, istnieją korzystne warunki dla rozwoju w regionie większości dostępnych technologii wytwarzania energii ze źródeł odnawialnych. W zakresie hydroenergii oraz energii słonecznej korzystne warunki występują niemalże na obszarze całego regionu. Natomiast dla energii wiatrowej są to głównie północna i północno-wschodnia część województwa w powiatach: koneckim, skarżyskim, starachowickim, ostrowieckim, opatowskim, sandomierskim oraz w północno - wschodnich częściach powiatów kieleckiego i staszowskiego, a zatem również na terenie Gminy Strawczyn. </w:t>
      </w:r>
    </w:p>
    <w:p w:rsidR="00244A1D" w:rsidRPr="00244A1D" w:rsidRDefault="00244A1D" w:rsidP="00244A1D">
      <w:pPr>
        <w:spacing w:line="360" w:lineRule="auto"/>
      </w:pPr>
      <w:r w:rsidRPr="00244A1D">
        <w:t>Biorąc pod uwagę, iż w regionie świętokrzyskim jest ok. 82 tys. ha ugorów i odłogów oraz ok 50 tys. ha porzuconych trwałych użytków zielonych (łąki oraz pastwiska), w sposób łatwy i bez większych nakładów można rozwinąć sektor energetyki odnawialnej opartej na produkcji biomasy, poprzez przywrócenie i odpowiednie ukierunkowanie na nich produkcji rolniczej.</w:t>
      </w:r>
    </w:p>
    <w:p w:rsidR="00244A1D" w:rsidRPr="00244A1D" w:rsidRDefault="00244A1D" w:rsidP="00244A1D">
      <w:pPr>
        <w:spacing w:line="360" w:lineRule="auto"/>
      </w:pPr>
      <w:r w:rsidRPr="00244A1D">
        <w:lastRenderedPageBreak/>
        <w:t xml:space="preserve">Rozszerzenie wykorzystania odnawialnych źródeł energii planowane jest w oparciu </w:t>
      </w:r>
      <w:r w:rsidRPr="00244A1D">
        <w:br/>
        <w:t xml:space="preserve">o realizację inwestycji w obszarze budowy oraz modernizacji jednostek, które wytwarzają energię zarówno elektryczną jak i cieplną wykorzystując, w tym celu m.in. biogaz, biomasę, energię wiatru oraz wody, energię słoneczną (produkcja energii opartej zarówno na kolektorach słonecznych jak i na ogniwach fotowoltaicznych). Dodatkowo przewiduje się także możliwość dofinansowania ww. źródeł wraz z ich podłączeniem do sieci dystrybucyjnej/przesyłowej. </w:t>
      </w:r>
    </w:p>
    <w:p w:rsidR="00400564" w:rsidRPr="00244A1D" w:rsidRDefault="00244A1D" w:rsidP="00244A1D">
      <w:pPr>
        <w:spacing w:line="360" w:lineRule="auto"/>
      </w:pPr>
      <w:r w:rsidRPr="00244A1D">
        <w:t>Województwo Świętokrzyskie, mimo iż dysponuje z jednej strony dobrze rozwiniętą przestrzennie siecią elektroenergetyczną oraz istniejącymi rezerwami mocy to z drugiej strony infrastruktura ta oparta jest w znacznej większości na sieci budowanej w latach 60-70 ubiegłego wieku, w okresie znacznie mniejszego zapotrzebowania na energię elektryczną. Ze względu na zły stan techniczny (wyeksploatowanie prawie w 50%) oraz ograniczoną przepustowość, sieć przesyłowa wymaga znacznych nakładów na odtworzenie i modernizację. Szczególnej uwagi w tym zakresie wymagają sieci elektroenergetyczne na terenach wiejskich. Zgodnie w warunkami Regionalnego Programu Operacyjnego dla województwa Świętokrzyskiego dofinansowanie budowy oraz modernizacji sieci elektroenergetycznej udzielane będzie jedynie w przypadku</w:t>
      </w:r>
    </w:p>
    <w:p w:rsidR="00244A1D" w:rsidRPr="00244A1D" w:rsidRDefault="00244A1D" w:rsidP="00244A1D">
      <w:pPr>
        <w:spacing w:line="360" w:lineRule="auto"/>
      </w:pPr>
      <w:r w:rsidRPr="00244A1D">
        <w:t>przyłączenia do tejże sieci instalacji wytwarzających energię ze źródeł odnawialnych.</w:t>
      </w:r>
    </w:p>
    <w:p w:rsidR="00244A1D" w:rsidRPr="00244A1D" w:rsidRDefault="00244A1D" w:rsidP="00244A1D">
      <w:pPr>
        <w:spacing w:line="360" w:lineRule="auto"/>
      </w:pPr>
      <w:r w:rsidRPr="00244A1D">
        <w:t xml:space="preserve">Innym rodzajem projektów przewidzianych do dofinansowania jest wsparcie dla produkcji urządzeń i komponentów, służących pozyskiwaniu energii ze źródeł odnawialnych, w tym budowa instalacji do produkcji </w:t>
      </w:r>
      <w:proofErr w:type="spellStart"/>
      <w:r w:rsidRPr="00244A1D">
        <w:t>biokomponentów</w:t>
      </w:r>
      <w:proofErr w:type="spellEnd"/>
      <w:r w:rsidRPr="00244A1D">
        <w:t xml:space="preserve"> i </w:t>
      </w:r>
      <w:proofErr w:type="spellStart"/>
      <w:r w:rsidRPr="00244A1D">
        <w:t>biopaliw</w:t>
      </w:r>
      <w:proofErr w:type="spellEnd"/>
      <w:r w:rsidRPr="00244A1D">
        <w:t>.</w:t>
      </w:r>
    </w:p>
    <w:p w:rsidR="00244A1D" w:rsidRPr="00244A1D" w:rsidRDefault="00244A1D" w:rsidP="00244A1D">
      <w:pPr>
        <w:spacing w:line="360" w:lineRule="auto"/>
      </w:pPr>
      <w:r w:rsidRPr="00244A1D">
        <w:t xml:space="preserve">Interwencję w regionie planuje się również skierować na budowę lub modernizację jednostek wytwarzania energii elektrycznej i ciepła w wysokiej </w:t>
      </w:r>
      <w:proofErr w:type="spellStart"/>
      <w:r w:rsidRPr="00244A1D">
        <w:t>kogeneracji</w:t>
      </w:r>
      <w:proofErr w:type="spellEnd"/>
      <w:r w:rsidRPr="00244A1D">
        <w:t xml:space="preserve"> z OZE. </w:t>
      </w:r>
      <w:r w:rsidRPr="00244A1D">
        <w:br/>
        <w:t xml:space="preserve">W ramach priorytetu wspierane będzie także wytwarzanie energii w </w:t>
      </w:r>
      <w:proofErr w:type="spellStart"/>
      <w:r w:rsidRPr="00244A1D">
        <w:t>trigeneracji</w:t>
      </w:r>
      <w:proofErr w:type="spellEnd"/>
      <w:r w:rsidRPr="00244A1D">
        <w:t xml:space="preserve"> czyli skojarzone technologicznie wytwarzanie energii cieplnej, elektrycznej oraz chłodu użytkowego, mające na celu zmniejszenie ilości i kosztu energii pierwotnej niezbędnej do wytworzenia każdej z tych form energii odrębnie.</w:t>
      </w:r>
      <w:r w:rsidRPr="00244A1D">
        <w:cr/>
      </w:r>
      <w:r w:rsidRPr="006A5F6C">
        <w:rPr>
          <w:bCs/>
          <w:u w:val="single"/>
        </w:rPr>
        <w:t>Typy przedsięwzięć</w:t>
      </w:r>
      <w:r w:rsidRPr="00244A1D">
        <w:rPr>
          <w:bCs/>
        </w:rPr>
        <w:t>:</w:t>
      </w:r>
    </w:p>
    <w:p w:rsidR="00244A1D" w:rsidRPr="00244A1D" w:rsidRDefault="00244A1D" w:rsidP="00775439">
      <w:pPr>
        <w:numPr>
          <w:ilvl w:val="0"/>
          <w:numId w:val="11"/>
        </w:numPr>
        <w:spacing w:line="360" w:lineRule="auto"/>
      </w:pPr>
      <w:r w:rsidRPr="00244A1D">
        <w:t>wytwarzania energii elektrycznej i cieplnej pochodzącej ze wszystkich źródeł odnawialnych (energia wodna, wiatru, słoneczna, geotermalna, biogazu, biomasy) wraz z podłączeniem do sieci dystrybucyjnej,</w:t>
      </w:r>
    </w:p>
    <w:p w:rsidR="00244A1D" w:rsidRPr="00244A1D" w:rsidRDefault="00244A1D" w:rsidP="00775439">
      <w:pPr>
        <w:numPr>
          <w:ilvl w:val="0"/>
          <w:numId w:val="11"/>
        </w:numPr>
        <w:spacing w:line="360" w:lineRule="auto"/>
      </w:pPr>
      <w:r w:rsidRPr="00244A1D">
        <w:t xml:space="preserve">budowy instalacji do produkcji </w:t>
      </w:r>
      <w:proofErr w:type="spellStart"/>
      <w:r w:rsidRPr="00244A1D">
        <w:t>biokomponentów</w:t>
      </w:r>
      <w:proofErr w:type="spellEnd"/>
      <w:r w:rsidRPr="00244A1D">
        <w:t xml:space="preserve"> i </w:t>
      </w:r>
      <w:proofErr w:type="spellStart"/>
      <w:r w:rsidRPr="00244A1D">
        <w:t>biopaliw</w:t>
      </w:r>
      <w:proofErr w:type="spellEnd"/>
      <w:r w:rsidRPr="00244A1D">
        <w:t>,</w:t>
      </w:r>
    </w:p>
    <w:p w:rsidR="00244A1D" w:rsidRPr="00244A1D" w:rsidRDefault="00244A1D" w:rsidP="00775439">
      <w:pPr>
        <w:numPr>
          <w:ilvl w:val="0"/>
          <w:numId w:val="11"/>
        </w:numPr>
        <w:spacing w:line="360" w:lineRule="auto"/>
      </w:pPr>
      <w:r w:rsidRPr="00244A1D">
        <w:t xml:space="preserve">budowy lub modernizacji jednostek wytwarzania energii elektrycznej i ciepła </w:t>
      </w:r>
      <w:r w:rsidRPr="00244A1D">
        <w:br/>
        <w:t xml:space="preserve">w wysokiej </w:t>
      </w:r>
      <w:proofErr w:type="spellStart"/>
      <w:r w:rsidRPr="00244A1D">
        <w:t>kogeneracji</w:t>
      </w:r>
      <w:proofErr w:type="spellEnd"/>
      <w:r w:rsidRPr="00244A1D">
        <w:t xml:space="preserve"> z OZE.</w:t>
      </w:r>
    </w:p>
    <w:p w:rsidR="00244A1D" w:rsidRPr="00244A1D" w:rsidRDefault="00244A1D" w:rsidP="00775439">
      <w:pPr>
        <w:numPr>
          <w:ilvl w:val="0"/>
          <w:numId w:val="11"/>
        </w:numPr>
        <w:spacing w:line="360" w:lineRule="auto"/>
      </w:pPr>
      <w:r w:rsidRPr="00244A1D">
        <w:lastRenderedPageBreak/>
        <w:t xml:space="preserve">budowy lub modernizacji jednostek wytwarzania energii elektrycznej, ciepła </w:t>
      </w:r>
      <w:r w:rsidRPr="00244A1D">
        <w:br/>
        <w:t xml:space="preserve">i chłodu w </w:t>
      </w:r>
      <w:proofErr w:type="spellStart"/>
      <w:r w:rsidRPr="00244A1D">
        <w:t>trigeneracji</w:t>
      </w:r>
      <w:proofErr w:type="spellEnd"/>
      <w:r w:rsidRPr="00244A1D">
        <w:t xml:space="preserve"> z OZE.</w:t>
      </w:r>
    </w:p>
    <w:p w:rsidR="00244A1D" w:rsidRPr="006A5F6C" w:rsidRDefault="00244A1D" w:rsidP="00244A1D">
      <w:pPr>
        <w:spacing w:line="360" w:lineRule="auto"/>
        <w:rPr>
          <w:u w:val="single"/>
        </w:rPr>
      </w:pPr>
      <w:r w:rsidRPr="006A5F6C">
        <w:rPr>
          <w:bCs/>
          <w:u w:val="single"/>
        </w:rPr>
        <w:t>Główni Beneficjenci, w szczególności:</w:t>
      </w:r>
    </w:p>
    <w:p w:rsidR="00244A1D" w:rsidRPr="00244A1D" w:rsidRDefault="00244A1D" w:rsidP="00775439">
      <w:pPr>
        <w:numPr>
          <w:ilvl w:val="0"/>
          <w:numId w:val="10"/>
        </w:numPr>
        <w:spacing w:line="360" w:lineRule="auto"/>
      </w:pPr>
      <w:r w:rsidRPr="00244A1D">
        <w:t>Jednostki samorządu terytorialnego lub podmioty działające w imieniu JST ,</w:t>
      </w:r>
    </w:p>
    <w:p w:rsidR="00244A1D" w:rsidRPr="00244A1D" w:rsidRDefault="00244A1D" w:rsidP="00775439">
      <w:pPr>
        <w:numPr>
          <w:ilvl w:val="0"/>
          <w:numId w:val="10"/>
        </w:numPr>
        <w:spacing w:line="360" w:lineRule="auto"/>
      </w:pPr>
      <w:r w:rsidRPr="00244A1D">
        <w:t>przedsiębiorstwa duże, średnie, małe, mikro prowadzące działalność na terenie województwa świętokrzyskiego, w tym producenci rolno – spożywczy,</w:t>
      </w:r>
    </w:p>
    <w:p w:rsidR="00244A1D" w:rsidRPr="00244A1D" w:rsidRDefault="00244A1D" w:rsidP="00775439">
      <w:pPr>
        <w:numPr>
          <w:ilvl w:val="0"/>
          <w:numId w:val="10"/>
        </w:numPr>
        <w:spacing w:line="360" w:lineRule="auto"/>
      </w:pPr>
      <w:r w:rsidRPr="00244A1D">
        <w:t>uczelnie,</w:t>
      </w:r>
    </w:p>
    <w:p w:rsidR="00244A1D" w:rsidRPr="00244A1D" w:rsidRDefault="00244A1D" w:rsidP="00775439">
      <w:pPr>
        <w:numPr>
          <w:ilvl w:val="0"/>
          <w:numId w:val="10"/>
        </w:numPr>
        <w:spacing w:line="360" w:lineRule="auto"/>
      </w:pPr>
      <w:r w:rsidRPr="00244A1D">
        <w:t>związki i stowarzyszenia JST,</w:t>
      </w:r>
    </w:p>
    <w:p w:rsidR="00244A1D" w:rsidRPr="00244A1D" w:rsidRDefault="00244A1D" w:rsidP="00775439">
      <w:pPr>
        <w:numPr>
          <w:ilvl w:val="0"/>
          <w:numId w:val="10"/>
        </w:numPr>
        <w:spacing w:line="360" w:lineRule="auto"/>
      </w:pPr>
      <w:r w:rsidRPr="00244A1D">
        <w:t>podmioty lecznicze wykonujące na terenie województwa świętokrzyskiego działalność leczniczą finansowaną ze środków publicznych,</w:t>
      </w:r>
    </w:p>
    <w:p w:rsidR="00244A1D" w:rsidRPr="00244A1D" w:rsidRDefault="00244A1D" w:rsidP="00775439">
      <w:pPr>
        <w:numPr>
          <w:ilvl w:val="0"/>
          <w:numId w:val="10"/>
        </w:numPr>
        <w:spacing w:line="360" w:lineRule="auto"/>
      </w:pPr>
      <w:r w:rsidRPr="00244A1D">
        <w:t>państwowe jednostki budżetowe,</w:t>
      </w:r>
    </w:p>
    <w:p w:rsidR="00244A1D" w:rsidRPr="00244A1D" w:rsidRDefault="00244A1D" w:rsidP="00775439">
      <w:pPr>
        <w:numPr>
          <w:ilvl w:val="0"/>
          <w:numId w:val="10"/>
        </w:numPr>
        <w:spacing w:line="360" w:lineRule="auto"/>
      </w:pPr>
      <w:r w:rsidRPr="00244A1D">
        <w:t>instytucje kultury.</w:t>
      </w:r>
    </w:p>
    <w:p w:rsidR="00244A1D" w:rsidRPr="00244A1D" w:rsidRDefault="00244A1D" w:rsidP="00244A1D">
      <w:pPr>
        <w:spacing w:line="360" w:lineRule="auto"/>
      </w:pPr>
      <w:r w:rsidRPr="00244A1D">
        <w:t xml:space="preserve">W ramach priorytetu inwestycyjnego 4.a zakłada się zastosowanie konkursowego trybu wyboru projektów z uwzględnieniem zapisów Umowy Partnerstwa i wytycznych horyzontalnych ministra właściwego ds. rozwoju regionalnego w zakresie trybów wyboru projektów na lata 2014-2020. Proces wyboru projektów uwzględniać będzie wymogi wynikające z Rozporządzenia ogólnego, w szczególności w zakresie stosowania przejrzystych i </w:t>
      </w:r>
      <w:proofErr w:type="spellStart"/>
      <w:r w:rsidRPr="00244A1D">
        <w:t>niedyskryminacyjnych</w:t>
      </w:r>
      <w:proofErr w:type="spellEnd"/>
      <w:r w:rsidRPr="00244A1D">
        <w:t xml:space="preserve"> procedur wyboru i kryteriów. Metodyka oraz kryteria wyboru operacji zostaną zatwierdzone przez Komitet Monitorujący. W trybie konkursowym projekty wybierane będą w oparciu o określone kryteria wyboru projektów pozostające w zgodności z celami Programu. Z uwagi na szeroką grupę potencjalnych beneficjentów uprawnionych do ubiegania się o dotację w ramach priorytetów, zastosowanie trybu konkursowego pozwoli na wybór projektów o najwyższej wartości dodanej.</w:t>
      </w:r>
    </w:p>
    <w:p w:rsidR="00244A1D" w:rsidRPr="00244A1D" w:rsidRDefault="00244A1D" w:rsidP="00244A1D">
      <w:pPr>
        <w:spacing w:line="360" w:lineRule="auto"/>
      </w:pPr>
      <w:r w:rsidRPr="00244A1D">
        <w:t xml:space="preserve">Projekty dotyczące wytwarzania energii z OZE oceniane będą głównie poprzez pryzmat kryterium efektywności kosztowej oraz osiągniętych efektów wpisujących się w cele osi priorytetowej. Jednym z czynników branych pod uwagę przy wyborze takich inwestycji do wsparcia, będzie koncepcja opłacalności, czyli najlepszego stosunku wielkości środków unijnych przeznaczonych na uzyskanie 1 </w:t>
      </w:r>
      <w:proofErr w:type="spellStart"/>
      <w:r w:rsidRPr="00244A1D">
        <w:t>MWh</w:t>
      </w:r>
      <w:proofErr w:type="spellEnd"/>
      <w:r w:rsidRPr="00244A1D">
        <w:t xml:space="preserve"> energii lub 1 MW mocy zainstalowanej wynikających z budowy danej instalacji. O wsparciu projektów decydować będą także inne osiągane rezultaty w stosunku do planowanych nakładów finansowych (np. wielkość redukcji CO</w:t>
      </w:r>
      <w:r w:rsidRPr="00244A1D">
        <w:rPr>
          <w:vertAlign w:val="subscript"/>
        </w:rPr>
        <w:t>2</w:t>
      </w:r>
      <w:r w:rsidRPr="00244A1D">
        <w:t xml:space="preserve">). </w:t>
      </w:r>
    </w:p>
    <w:p w:rsidR="00244A1D" w:rsidRPr="00244A1D" w:rsidRDefault="00244A1D" w:rsidP="00244A1D">
      <w:pPr>
        <w:spacing w:line="360" w:lineRule="auto"/>
      </w:pPr>
      <w:r w:rsidRPr="00244A1D">
        <w:lastRenderedPageBreak/>
        <w:t xml:space="preserve">Ponadto w trakcie oceny będą brane pod uwagę aspekty dotyczące lokalizacji tych inwestycji względem obszarów Natura 2000 (w szczególności obszarów specjalnej ochrony ptaków) oraz szlaków migracyjnych zwierząt, a także zgodność tego typu instalacji </w:t>
      </w:r>
      <w:r w:rsidRPr="00244A1D">
        <w:br/>
        <w:t>z regionalnymi oraz miejscowymi planami zagospodarowania przestrzennego.</w:t>
      </w:r>
    </w:p>
    <w:p w:rsidR="00244A1D" w:rsidRPr="00244A1D" w:rsidRDefault="00244A1D" w:rsidP="00244A1D">
      <w:pPr>
        <w:spacing w:line="360" w:lineRule="auto"/>
      </w:pPr>
      <w:r w:rsidRPr="00244A1D">
        <w:t>W przypadku wsparcia projektów dotyczących jednostek OZE wykorzystujących energię wody zastosowanie mają warunki dotyczące projektów mogących mieć wpływ na stan wód. Wpływ na emisję zanieczyszczeń powietrza, w szczególności na obszarach gdzie zostały przekroczone poziomy PM10, będzie rozpatrywany w kryteriach wyboru projektów związanych z wytwarzaniem energii przy użyciu biomasy.</w:t>
      </w:r>
    </w:p>
    <w:p w:rsidR="00244A1D" w:rsidRPr="00244A1D" w:rsidRDefault="00244A1D" w:rsidP="00244A1D">
      <w:pPr>
        <w:spacing w:line="360" w:lineRule="auto"/>
      </w:pPr>
      <w:r w:rsidRPr="00244A1D">
        <w:t xml:space="preserve">W ramach RPOWŚ 2014-2020 tylko </w:t>
      </w:r>
      <w:proofErr w:type="spellStart"/>
      <w:r w:rsidRPr="00244A1D">
        <w:t>biopaliwa</w:t>
      </w:r>
      <w:proofErr w:type="spellEnd"/>
      <w:r w:rsidRPr="00244A1D">
        <w:t xml:space="preserve"> drugiej i trzeciej generacji mogą uzyskać wsparcie.</w:t>
      </w:r>
    </w:p>
    <w:p w:rsidR="00244A1D" w:rsidRPr="006A5F6C" w:rsidRDefault="00244A1D" w:rsidP="00244A1D">
      <w:pPr>
        <w:spacing w:line="360" w:lineRule="auto"/>
        <w:rPr>
          <w:u w:val="single"/>
        </w:rPr>
      </w:pPr>
      <w:r w:rsidRPr="006A5F6C">
        <w:rPr>
          <w:u w:val="single"/>
        </w:rPr>
        <w:t>Poziom dofinansowania:</w:t>
      </w:r>
    </w:p>
    <w:p w:rsidR="00244A1D" w:rsidRPr="00244A1D" w:rsidRDefault="00244A1D" w:rsidP="00244A1D">
      <w:pPr>
        <w:spacing w:line="360" w:lineRule="auto"/>
      </w:pPr>
      <w:r w:rsidRPr="00244A1D">
        <w:t>Podstawowy poziom dofinansowania środkami RPOWŚ 2014-2020 dla projektu wynosi 85% kosztów kwalifikowanych. W przypadku, gdy wsparcie projektu stanowi pomoc publiczną, maksymalny poziom dofinansowania projektu wynika z odpowiednich przepisów, regulujących zasady udzielania pomocy publicznej.</w:t>
      </w:r>
    </w:p>
    <w:p w:rsidR="00244A1D" w:rsidRPr="00244A1D" w:rsidRDefault="00244A1D" w:rsidP="00244A1D">
      <w:pPr>
        <w:spacing w:line="360" w:lineRule="auto"/>
        <w:rPr>
          <w:b/>
          <w:i/>
        </w:rPr>
      </w:pPr>
      <w:r w:rsidRPr="00244A1D">
        <w:rPr>
          <w:b/>
          <w:i/>
        </w:rPr>
        <w:t>b) Priorytet inwestycyjny 4b promowanie efektywności energetycznej i korzystania z odnawialnych źródeł energii w przedsiębiorstwach</w:t>
      </w:r>
    </w:p>
    <w:p w:rsidR="00244A1D" w:rsidRPr="00244A1D" w:rsidRDefault="00244A1D" w:rsidP="00244A1D">
      <w:pPr>
        <w:spacing w:line="360" w:lineRule="auto"/>
        <w:rPr>
          <w:b/>
          <w:i/>
        </w:rPr>
      </w:pPr>
      <w:r w:rsidRPr="00244A1D">
        <w:rPr>
          <w:b/>
          <w:i/>
        </w:rPr>
        <w:t>Cel szczegółowy: Zwiększona efektywności energetyczna przedsiębiorstw prowadzących działalność w województwie świętokrzyskim.</w:t>
      </w:r>
    </w:p>
    <w:p w:rsidR="00244A1D" w:rsidRPr="00244A1D" w:rsidRDefault="00244A1D" w:rsidP="00244A1D">
      <w:pPr>
        <w:spacing w:line="360" w:lineRule="auto"/>
      </w:pPr>
      <w:r w:rsidRPr="00244A1D">
        <w:t>Najważniejszymi celami zaplanowanych inwestycji jest poprawa efektywności energetycznej przedsiębiorstw oraz budowa konkurencyjnej, innowacyjnej, a przede wszystkim przyjaznej środowisku gospodarki.</w:t>
      </w:r>
    </w:p>
    <w:p w:rsidR="00244A1D" w:rsidRPr="00244A1D" w:rsidRDefault="00244A1D" w:rsidP="00244A1D">
      <w:pPr>
        <w:spacing w:line="360" w:lineRule="auto"/>
      </w:pPr>
      <w:r w:rsidRPr="00244A1D">
        <w:t>Poprawa efektywności energetycznej w funkcjonowaniu przedsiębiorstwa staje się koniecznością nie tylko z uwagi na chęć optymalizacji kosztów, bezpośrednio wpływających na konkurencyjność przedsiębiorstw, ale również ze względu na wymagania dotyczące ochrony środowiska. Działania podejmowane w ramach priorytetu mają za zadanie wspierać sektor mikro, małych i średnich przedsiębiorstw, w celu jak najlepszego wykorzystania dostępnych zasobów poprzez zastosowanie technologii i rozwiązań zmierzających do racjonalnego zużywania energii elektrycznej, cieplnej i wody. Warunkiem koniecznym poprzedzającym realizację tego typu przedsięwzięć będzie przeprowadzenie audytów energetycznych na podstawie których zweryfikowane zostanie ekonomiczne uzasadnienia dla planowanych projektów.</w:t>
      </w:r>
    </w:p>
    <w:p w:rsidR="00244A1D" w:rsidRPr="00244A1D" w:rsidRDefault="00244A1D" w:rsidP="00244A1D">
      <w:pPr>
        <w:spacing w:line="360" w:lineRule="auto"/>
      </w:pPr>
      <w:r w:rsidRPr="00244A1D">
        <w:lastRenderedPageBreak/>
        <w:t xml:space="preserve">W ramach Priorytetu dofinansowanie uzyskać mogą przedsięwzięcia zakładające zastosowanie systemów zarządzania energią oraz wprowadzenie energooszczędnych technologii w procesach produkcyjnych, m.in. poprzez zastosowanie energooszczędnych, proekologicznych maszyn, urządzeń, linii produkcyjnych. Powstające w procesach przetwarzania energii w urządzeniach energetycznych i oddawane do otoczenia ciepło odpadowe może być wykorzystywane w celu ogrzewania i chłodzenia budynków produkcyjnych, magazynowych i biurowych oraz podgrzewania ciepłej wody użytkowej przez przedsiębiorcę lub odbiorców zewnętrznych (miejskie sieci ciepłownicze). Wykorzystywanie ciepła odpadowego do wytwarzania energii elektrycznej pozwala na obniżenie emisji CO2 oraz na obniżenie temperatury spalin wyrzucanych do atmosfery, </w:t>
      </w:r>
      <w:r w:rsidRPr="00244A1D">
        <w:br/>
        <w:t>a tym samym na zmniejszenie negatywnego oddziaływania zakładów przemysłowych na środowisko naturalne.</w:t>
      </w:r>
    </w:p>
    <w:p w:rsidR="00244A1D" w:rsidRPr="00244A1D" w:rsidRDefault="00244A1D" w:rsidP="00244A1D">
      <w:pPr>
        <w:spacing w:line="360" w:lineRule="auto"/>
      </w:pPr>
      <w:r w:rsidRPr="00244A1D">
        <w:t xml:space="preserve">Ponadto wsparciem może zostać objęta budowa instalacji OZE służąca do produkcji energii na potrzeby własne. Dotacje udzielane będą również na głęboką modernizację energetyczną zdekapitalizowanych budynków przemysłowych i obiektów, w których prowadzona jest działalność gospodarcza. Projektując interwencję należy także wziąć pod uwagę nie tylko potrzebę ogrzewania, ale również wentylacji, klimatyzacji i chłodzenie budynków. </w:t>
      </w:r>
      <w:proofErr w:type="spellStart"/>
      <w:r w:rsidRPr="00244A1D">
        <w:t>Klimatyzacjapomieszczeń</w:t>
      </w:r>
      <w:proofErr w:type="spellEnd"/>
      <w:r w:rsidRPr="00244A1D">
        <w:t xml:space="preserve"> wymaga dużych nakładów energii dlatego też przedsięwzięcia wykorzystujące jeden nośnik energii pierwotnej do produkcji, ciepła i chłodu będą mogły uzyskać dofinansowanie w ramach PI 4b.</w:t>
      </w:r>
    </w:p>
    <w:p w:rsidR="00244A1D" w:rsidRPr="00244A1D" w:rsidRDefault="00244A1D" w:rsidP="00244A1D">
      <w:pPr>
        <w:spacing w:line="360" w:lineRule="auto"/>
      </w:pPr>
      <w:r w:rsidRPr="00244A1D">
        <w:t xml:space="preserve">Spodziewanym rezultatem udzielonego wsparcia będzie uzyskanie oszczędności energii elektrycznej oraz cieplnej, jak również wzrost wykorzystania energii wytwarzanej z OZE. Pożądanym efektem udzielonej interwencji będzie ograniczenie zużycia wody w procesach wytwórczych. Powyższe przedsięwzięcia spowodują spadek kosztów związanych </w:t>
      </w:r>
      <w:r w:rsidRPr="00244A1D">
        <w:br/>
        <w:t xml:space="preserve">z prowadzoną działalnością gospodarczą, a w dłuższej perspektywie przyczynią się do zmniejszenia energochłonności gospodarki oraz ograniczenia emisji zanieczyszczeń do atmosfery. </w:t>
      </w:r>
    </w:p>
    <w:p w:rsidR="00244A1D" w:rsidRPr="006A5F6C" w:rsidRDefault="00244A1D" w:rsidP="00244A1D">
      <w:pPr>
        <w:spacing w:line="360" w:lineRule="auto"/>
        <w:rPr>
          <w:bCs/>
          <w:u w:val="single"/>
        </w:rPr>
      </w:pPr>
      <w:r w:rsidRPr="006A5F6C">
        <w:rPr>
          <w:bCs/>
          <w:u w:val="single"/>
        </w:rPr>
        <w:t>Typy przedsięwzięć:</w:t>
      </w:r>
    </w:p>
    <w:p w:rsidR="00244A1D" w:rsidRPr="00244A1D" w:rsidRDefault="00244A1D" w:rsidP="00775439">
      <w:pPr>
        <w:numPr>
          <w:ilvl w:val="0"/>
          <w:numId w:val="12"/>
        </w:numPr>
        <w:spacing w:line="360" w:lineRule="auto"/>
      </w:pPr>
      <w:r w:rsidRPr="00244A1D">
        <w:t>Modernizacja i rozbudowa linii produkcyjnych na bardziej efektywne energetycznie,</w:t>
      </w:r>
    </w:p>
    <w:p w:rsidR="00244A1D" w:rsidRPr="00244A1D" w:rsidRDefault="006A5F6C" w:rsidP="00775439">
      <w:pPr>
        <w:numPr>
          <w:ilvl w:val="0"/>
          <w:numId w:val="12"/>
        </w:numPr>
        <w:spacing w:line="360" w:lineRule="auto"/>
      </w:pPr>
      <w:r>
        <w:t>g</w:t>
      </w:r>
      <w:r w:rsidR="00244A1D" w:rsidRPr="00244A1D">
        <w:t xml:space="preserve">łęboka, kompleksowa modernizacja energetyczna budynków </w:t>
      </w:r>
      <w:r w:rsidR="00244A1D" w:rsidRPr="00244A1D">
        <w:br/>
        <w:t>w przedsiębiorstwach,</w:t>
      </w:r>
    </w:p>
    <w:p w:rsidR="00244A1D" w:rsidRPr="00244A1D" w:rsidRDefault="006A5F6C" w:rsidP="00775439">
      <w:pPr>
        <w:numPr>
          <w:ilvl w:val="0"/>
          <w:numId w:val="12"/>
        </w:numPr>
        <w:spacing w:line="360" w:lineRule="auto"/>
      </w:pPr>
      <w:r>
        <w:t>z</w:t>
      </w:r>
      <w:r w:rsidR="00244A1D" w:rsidRPr="00244A1D">
        <w:t>astosowanie technologii efektywnych energetycznie w przedsiębiorstwach,</w:t>
      </w:r>
    </w:p>
    <w:p w:rsidR="00244A1D" w:rsidRPr="00244A1D" w:rsidRDefault="006A5F6C" w:rsidP="00775439">
      <w:pPr>
        <w:numPr>
          <w:ilvl w:val="0"/>
          <w:numId w:val="12"/>
        </w:numPr>
        <w:spacing w:line="360" w:lineRule="auto"/>
      </w:pPr>
      <w:r>
        <w:t>z</w:t>
      </w:r>
      <w:r w:rsidR="00244A1D" w:rsidRPr="00244A1D">
        <w:t>astosowanie energooszczędnych (energia elektryczna, ciepło, chłód, woda) technologii produkcji i użytkowania energii,</w:t>
      </w:r>
    </w:p>
    <w:p w:rsidR="00244A1D" w:rsidRPr="00244A1D" w:rsidRDefault="006A5F6C" w:rsidP="00775439">
      <w:pPr>
        <w:numPr>
          <w:ilvl w:val="0"/>
          <w:numId w:val="12"/>
        </w:numPr>
        <w:spacing w:line="360" w:lineRule="auto"/>
      </w:pPr>
      <w:r>
        <w:lastRenderedPageBreak/>
        <w:t>w</w:t>
      </w:r>
      <w:r w:rsidR="00244A1D" w:rsidRPr="00244A1D">
        <w:t>prowadzanie systemów zarządzania energią</w:t>
      </w:r>
    </w:p>
    <w:p w:rsidR="00244A1D" w:rsidRPr="00244A1D" w:rsidRDefault="00244A1D" w:rsidP="00244A1D">
      <w:pPr>
        <w:spacing w:line="360" w:lineRule="auto"/>
        <w:rPr>
          <w:bCs/>
        </w:rPr>
      </w:pPr>
      <w:r w:rsidRPr="00244A1D">
        <w:t>Wśród ww. projektów wsparcie uzyskają również przedsięwzięcia polegające na wykorzystaniu surowców wtórnych w procesie produkcyjnym, w wyniku czego podniesiona zostanie efektywność energetyczna i kosztowa przemys</w:t>
      </w:r>
      <w:r w:rsidR="006A5F6C">
        <w:t xml:space="preserve">łu i usług w regionie (zgodnie </w:t>
      </w:r>
      <w:r w:rsidRPr="00244A1D">
        <w:t>z postulatami zawartymi w Założeniach Narodowego Programu Rozwoju Gospodarki Niskoemisyjnej, opracowanych przez Ministerstwo Gospodarki).</w:t>
      </w:r>
    </w:p>
    <w:p w:rsidR="00244A1D" w:rsidRPr="00244A1D" w:rsidRDefault="00244A1D" w:rsidP="00244A1D">
      <w:pPr>
        <w:spacing w:line="360" w:lineRule="auto"/>
      </w:pPr>
      <w:r w:rsidRPr="00244A1D">
        <w:rPr>
          <w:bCs/>
        </w:rPr>
        <w:t>Głównymi Beneficjentami zadania są mikro, małe, średnie przedsiębiorstwa prowadzące działalność na terenie województwa świętokrzyskiego</w:t>
      </w:r>
      <w:r w:rsidRPr="00244A1D">
        <w:t>.</w:t>
      </w:r>
    </w:p>
    <w:p w:rsidR="00244A1D" w:rsidRPr="00244A1D" w:rsidRDefault="00244A1D" w:rsidP="00244A1D">
      <w:pPr>
        <w:spacing w:line="360" w:lineRule="auto"/>
      </w:pPr>
      <w:r w:rsidRPr="00244A1D">
        <w:t xml:space="preserve">W ramach priorytetu inwestycyjnego 4.b zakłada się zastosowanie konkursowego trybu wyboru projektów z uwzględnieniem zapisów Umowy Partnerstwa i wytycznych horyzontalnych w tym zakresie w zakresie trybów wyboru projektów na lata 2014-2020. Proces wyboru projektów uwzględniać będzie wymogi wynikające z Rozporządzenia ogólnego, w szczególności w zakresie stosowania przejrzystych i </w:t>
      </w:r>
      <w:proofErr w:type="spellStart"/>
      <w:r w:rsidRPr="00244A1D">
        <w:t>niedyskryminacyjnych</w:t>
      </w:r>
      <w:proofErr w:type="spellEnd"/>
      <w:r w:rsidRPr="00244A1D">
        <w:t xml:space="preserve"> procedur wyboru i kryteriów. Metodyka oraz kryteria wyboru operacji zostaną zatwierdzone przez Komitet Monitorujący. W trybie konkur</w:t>
      </w:r>
      <w:r w:rsidR="00163FBA">
        <w:t xml:space="preserve">sowym projekty wybierane </w:t>
      </w:r>
      <w:r w:rsidRPr="00244A1D">
        <w:t xml:space="preserve">będą w </w:t>
      </w:r>
      <w:r w:rsidR="00163FBA">
        <w:t xml:space="preserve">oparciu </w:t>
      </w:r>
      <w:r w:rsidRPr="00244A1D">
        <w:t>o określone kryteria wyboru projektów pozostające w zgodności z celami Programu. Z uwagi na szeroką grupę potencjalnych beneficjentów uprawnion</w:t>
      </w:r>
      <w:r w:rsidR="00163FBA">
        <w:t xml:space="preserve">ych do ubiegania się o dotację  </w:t>
      </w:r>
      <w:r w:rsidRPr="00244A1D">
        <w:t>w ramach priorytetów, zastosowanie trybu konkursow</w:t>
      </w:r>
      <w:r w:rsidR="00163FBA">
        <w:t xml:space="preserve">ego pozwoli na wybór projektów </w:t>
      </w:r>
      <w:r w:rsidRPr="00244A1D">
        <w:t>o najwyższej wartości dodanej.</w:t>
      </w:r>
    </w:p>
    <w:p w:rsidR="00244A1D" w:rsidRPr="00244A1D" w:rsidRDefault="00244A1D" w:rsidP="00244A1D">
      <w:pPr>
        <w:spacing w:line="360" w:lineRule="auto"/>
      </w:pPr>
      <w:r w:rsidRPr="00244A1D">
        <w:t xml:space="preserve">Kluczowe w ramach oceny projektów będzie kryterium efektywności kosztowej </w:t>
      </w:r>
      <w:r w:rsidRPr="00244A1D">
        <w:br/>
        <w:t>w powiązaniu z osiąganymi efektami ekologicznymi w stosunku do planowanych nakładów finansowych. Poza tym o wsparciu takich projektów decydować będą także inne osiągane rezultaty w stosunku do planowanych nakładów finansowych (np. wielkość redukcji CO</w:t>
      </w:r>
      <w:r w:rsidRPr="00244A1D">
        <w:rPr>
          <w:vertAlign w:val="subscript"/>
        </w:rPr>
        <w:t>2</w:t>
      </w:r>
      <w:r w:rsidRPr="00244A1D">
        <w:t xml:space="preserve">, zmniejszenie zużycia energii końcowej). Wzmocnieniu efektów realizowanych projektów służyć będzie wdrożenie inteligentnych systemów zarządzania energią w oparciu </w:t>
      </w:r>
      <w:r w:rsidRPr="00244A1D">
        <w:br/>
        <w:t>o technologie TIK. Identyfikacja optymalnego zestawu działań zwiększających efektywność energetyczną w danym przedsiębiorstwie dokonywana będzie na podstawie audytu energetycznego, audytu efektywności energetycznej, przeglądu energetycznego bądź innych wymaganych dokumentów.</w:t>
      </w:r>
    </w:p>
    <w:p w:rsidR="00244A1D" w:rsidRPr="00244A1D" w:rsidRDefault="00244A1D" w:rsidP="00244A1D">
      <w:pPr>
        <w:spacing w:line="360" w:lineRule="auto"/>
      </w:pPr>
      <w:r w:rsidRPr="00244A1D">
        <w:t xml:space="preserve">Warunkiem wsparcia projektów dotyczących kompleksowej, głębokiej modernizacji energetycznej budynków będzie również konieczność zastosowania indywidualnych liczników ciepła, ciepłej wody oraz chłodu. Dodatkowo istnieje obowiązek instalacji termostatów i zaworów </w:t>
      </w:r>
      <w:proofErr w:type="spellStart"/>
      <w:r w:rsidRPr="00244A1D">
        <w:t>podpionowych</w:t>
      </w:r>
      <w:proofErr w:type="spellEnd"/>
      <w:r w:rsidRPr="00244A1D">
        <w:t>, jeżeli będzie to wynikać z przeprowadzonego audytu energetycznego. Powyższe wydatki będą stanowić koszt kwalifikowany. Preferowane będą projekty zwiększające efektywność energetyczną p</w:t>
      </w:r>
      <w:r w:rsidR="00163FBA">
        <w:t xml:space="preserve">owyżej 60%, natomiast projekty </w:t>
      </w:r>
      <w:r w:rsidRPr="00244A1D">
        <w:t xml:space="preserve">z zakresu </w:t>
      </w:r>
      <w:r w:rsidRPr="00244A1D">
        <w:lastRenderedPageBreak/>
        <w:t>głębokiej, kompleksowej modernizacji energetycznej zwiększające efektywność energetyczną poniżej 25% nie będą kwalifikowały się do dofinansowania.</w:t>
      </w:r>
    </w:p>
    <w:p w:rsidR="00244A1D" w:rsidRPr="006A5F6C" w:rsidRDefault="00244A1D" w:rsidP="00244A1D">
      <w:pPr>
        <w:spacing w:line="360" w:lineRule="auto"/>
        <w:rPr>
          <w:u w:val="single"/>
        </w:rPr>
      </w:pPr>
      <w:r w:rsidRPr="006A5F6C">
        <w:rPr>
          <w:u w:val="single"/>
        </w:rPr>
        <w:t>Poziom dofinansowania</w:t>
      </w:r>
    </w:p>
    <w:p w:rsidR="00244A1D" w:rsidRPr="00244A1D" w:rsidRDefault="00244A1D" w:rsidP="00244A1D">
      <w:pPr>
        <w:spacing w:line="360" w:lineRule="auto"/>
      </w:pPr>
      <w:r w:rsidRPr="00244A1D">
        <w:t>Podstawowy poziom dofinansowania środkami RPOWŚ 2014-2020 dla projektu wynosi 85% kosztów kwalifikowanych. W przypadku, gdy wsparcie projektu stanowi pomoc publiczną, maksymalny poziom dofinansowania projektu wynika z odpowiednich przepisów, regulujących zasady udzielania pomocy publicznej. W związku z tym, iż niedopuszczalne jest wspieranie sektora energetyki w ramach regionalnej pomocy inwestycyjnej, wsparcie w ramach priorytetu udzielane będzie jako pomoc horyzontalna na zasadach określonych w wytycznych dotyczących pomocy na energetykę i ochronę środowiska na lata 2014-2020.</w:t>
      </w:r>
    </w:p>
    <w:p w:rsidR="00244A1D" w:rsidRPr="00244A1D" w:rsidRDefault="00244A1D" w:rsidP="00244A1D">
      <w:pPr>
        <w:spacing w:line="360" w:lineRule="auto"/>
        <w:rPr>
          <w:b/>
          <w:i/>
        </w:rPr>
      </w:pPr>
      <w:r w:rsidRPr="00244A1D">
        <w:rPr>
          <w:b/>
          <w:i/>
        </w:rPr>
        <w:t>c) Priorytet inwestycyjny 4c: Wspieranie efektywności energetycznej, inteligentnego zarządzania energią i wykorzystania odnawialnych źródeł energii w infrastrukturze publicznej, w tym w budynkach publicznych i w sektorze mieszkaniowym.</w:t>
      </w:r>
    </w:p>
    <w:p w:rsidR="00244A1D" w:rsidRPr="00244A1D" w:rsidRDefault="00244A1D" w:rsidP="00244A1D">
      <w:pPr>
        <w:spacing w:line="360" w:lineRule="auto"/>
        <w:rPr>
          <w:b/>
          <w:i/>
        </w:rPr>
      </w:pPr>
      <w:r w:rsidRPr="00244A1D">
        <w:rPr>
          <w:b/>
          <w:i/>
        </w:rPr>
        <w:t>Cel szczegółowy: Zwiększona efektywność energetyczna budynków publicznych oraz sektora mieszkaniowego.</w:t>
      </w:r>
    </w:p>
    <w:p w:rsidR="00244A1D" w:rsidRPr="00244A1D" w:rsidRDefault="00244A1D" w:rsidP="00244A1D">
      <w:pPr>
        <w:spacing w:line="360" w:lineRule="auto"/>
      </w:pPr>
      <w:r w:rsidRPr="00244A1D">
        <w:t xml:space="preserve">Główną intencją przedsięwzięć planowanych do dofinansowania w ramach priorytetu 4.c jest poprawa efektywności energetycznej w sektorze mieszkaniowym oraz budynkach użyteczności publicznej. Realizowane przedsięwzięcia mają znaczenie nie tylko dla zmniejszenia zapotrzebowania na energię pierwotną i końcową ale również w istotny sposób wpływają na poprawę środowiska naturalnego poprzez ograniczenie emisji zanieczyszczeń do powietrza atmosferycznego. </w:t>
      </w:r>
    </w:p>
    <w:p w:rsidR="00244A1D" w:rsidRPr="00244A1D" w:rsidRDefault="00244A1D" w:rsidP="00244A1D">
      <w:pPr>
        <w:spacing w:line="360" w:lineRule="auto"/>
      </w:pPr>
      <w:r w:rsidRPr="00244A1D">
        <w:t xml:space="preserve">Potrzeby w zakresie głębokiej modernizacji energetycznej w regionie wciąż są ogromne. Większość budynków użyteczności publicznej jak również wielorodzinnych została oddana do użytku w czasach, kiedy rozwiązania budowlane nie uwzględniały izolacji cieplnej budynków, a właściwą temperaturę zapewniały systemy grzewcze pobierające duże ilości energii. </w:t>
      </w:r>
    </w:p>
    <w:p w:rsidR="00244A1D" w:rsidRPr="00244A1D" w:rsidRDefault="00244A1D" w:rsidP="00244A1D">
      <w:pPr>
        <w:spacing w:line="360" w:lineRule="auto"/>
      </w:pPr>
      <w:r w:rsidRPr="00244A1D">
        <w:t xml:space="preserve">Przestarzałe rozwiązania prowadzą nie tylko do dużych strat energii, narażając użytkowników na pokaźne straty finansowe ale wywołują również znaczną emisję szkodliwych czynników do powietrza atmosferycznego. Ponadto niedostateczna izolacja budynków prowadzi do dużych strat ciepła, jest również efektem zużywania dużej ilości paliw i energii, przez co ponoszone są wysokie koszty nie przekładające się na wystarczające ogrzanie pomieszczeń. Wobec powyższego należy wprowadzić rozwiązania ograniczające zużycie energii. Cel ten zostanie osiągnięty poprzez obniżenie energochłonności budynków wskutek zmiany w systemach ogrzewania i wentylacji, działań modernizacyjnych budynków wraz z wymianą wyposażenia </w:t>
      </w:r>
      <w:r w:rsidRPr="00244A1D">
        <w:lastRenderedPageBreak/>
        <w:t>tych obiektów na energooszczędne. Do przedsięwzięć tego typu zalicza się przede wszystkim: obłożenie ścian zewnętrznych i dachu warstwą izolacji termicznej, wymianę okien i drzwi zewnętrznych, a także wymianę oświetlenia na energooszczędne. Jako element kompleksowy projektu wspierana będzie również budowa, wymiana lub modernizacja systemu grzewczego oraz małych, lokalnych źródeł ciepła przy uwzględnieniu wprowadzenia indywidualne</w:t>
      </w:r>
      <w:r w:rsidR="00163FBA">
        <w:t xml:space="preserve">go pomiaru ciepła w połączeniu </w:t>
      </w:r>
      <w:r w:rsidRPr="00244A1D">
        <w:t>z wprowadzeniem zaworów termostatycznych w tych budynkach, w których to nie zostało jeszcze wykonane. Niemniej jednak powinno to być technicznie wykonalne, uzasadnione finansowo i proporcjonalne do potencjalnej oszczędności energii. Z punktu widzenia poprawy efektywności energetycznej budynków w tym zakresie, przewiduje się również zastosowanie w modernizowanych energetycznie budynkach instalacji wykorzystujących odnawialne źródła energii, które zostaną wykorzys</w:t>
      </w:r>
      <w:r w:rsidR="00163FBA">
        <w:t xml:space="preserve">tane zarówno do ogrzewania jak </w:t>
      </w:r>
      <w:r w:rsidRPr="00244A1D">
        <w:t>i chłodzenia budynków. Przyczyni się do racjonalizacji zużycia</w:t>
      </w:r>
      <w:r w:rsidR="00163FBA">
        <w:t xml:space="preserve"> i ograniczenia strat energii, </w:t>
      </w:r>
      <w:r w:rsidRPr="00244A1D">
        <w:t xml:space="preserve">a tym samym nastąpi redukcja ilości emitowanych do atmosfery zanieczyszczeń oraz zmniejszenie kosztów eksploatacji obiektów przy </w:t>
      </w:r>
      <w:r w:rsidR="00163FBA">
        <w:t xml:space="preserve">jednoczesnej poprawie komfortu </w:t>
      </w:r>
      <w:r w:rsidRPr="00244A1D">
        <w:t>i bezpieczeństwa użytkowania.</w:t>
      </w:r>
    </w:p>
    <w:p w:rsidR="00244A1D" w:rsidRPr="00244A1D" w:rsidRDefault="00244A1D" w:rsidP="00244A1D">
      <w:pPr>
        <w:spacing w:line="360" w:lineRule="auto"/>
      </w:pPr>
      <w:r w:rsidRPr="00244A1D">
        <w:t xml:space="preserve">Zakres prac dotyczący kompleksowej modernizacji musi wynikać z przeprowadzonej </w:t>
      </w:r>
      <w:r w:rsidRPr="00244A1D">
        <w:br/>
        <w:t xml:space="preserve">w ramach audytu energetycznego analizy planowanych do wprowadzenia rozwiązań. Poprawa efektywności energetycznej budynków pozytywnie wpłynie na ograniczenie emisji gazów cieplarnianych. </w:t>
      </w:r>
      <w:r w:rsidRPr="00244A1D">
        <w:cr/>
      </w:r>
      <w:r w:rsidRPr="006A5F6C">
        <w:rPr>
          <w:bCs/>
          <w:u w:val="single"/>
        </w:rPr>
        <w:t>Typy przedsięwzięć</w:t>
      </w:r>
    </w:p>
    <w:p w:rsidR="00244A1D" w:rsidRPr="00244A1D" w:rsidRDefault="00244A1D" w:rsidP="00244A1D">
      <w:pPr>
        <w:spacing w:line="360" w:lineRule="auto"/>
      </w:pPr>
      <w:r w:rsidRPr="00244A1D">
        <w:t>Inwestycje w zakresie związanym m.in. z:</w:t>
      </w:r>
    </w:p>
    <w:p w:rsidR="00244A1D" w:rsidRPr="00244A1D" w:rsidRDefault="00244A1D" w:rsidP="00775439">
      <w:pPr>
        <w:numPr>
          <w:ilvl w:val="0"/>
          <w:numId w:val="13"/>
        </w:numPr>
        <w:spacing w:line="360" w:lineRule="auto"/>
      </w:pPr>
      <w:r w:rsidRPr="00244A1D">
        <w:t>ociepleniem obiektu,</w:t>
      </w:r>
    </w:p>
    <w:p w:rsidR="00244A1D" w:rsidRPr="00244A1D" w:rsidRDefault="00244A1D" w:rsidP="00775439">
      <w:pPr>
        <w:numPr>
          <w:ilvl w:val="0"/>
          <w:numId w:val="13"/>
        </w:numPr>
        <w:spacing w:line="360" w:lineRule="auto"/>
      </w:pPr>
      <w:r w:rsidRPr="00244A1D">
        <w:t>wymianą okien, drzwi zewnętrznych, oraz oświetlenia na energooszczędne,</w:t>
      </w:r>
    </w:p>
    <w:p w:rsidR="00244A1D" w:rsidRPr="00244A1D" w:rsidRDefault="00244A1D" w:rsidP="00775439">
      <w:pPr>
        <w:numPr>
          <w:ilvl w:val="0"/>
          <w:numId w:val="13"/>
        </w:numPr>
        <w:spacing w:line="360" w:lineRule="auto"/>
      </w:pPr>
      <w:r w:rsidRPr="00244A1D">
        <w:t>przebudową systemów grzewczych (wraz z wymianą i podłączeniem do źródła ciepła lub podłączeniem do sieci ciepłowniczej), systemów wentylacji i klimatyzacji oraz systemów wodno-kanalizacyjnych,</w:t>
      </w:r>
    </w:p>
    <w:p w:rsidR="00244A1D" w:rsidRPr="00244A1D" w:rsidRDefault="00244A1D" w:rsidP="00775439">
      <w:pPr>
        <w:numPr>
          <w:ilvl w:val="0"/>
          <w:numId w:val="13"/>
        </w:numPr>
        <w:spacing w:line="360" w:lineRule="auto"/>
      </w:pPr>
      <w:r w:rsidRPr="00244A1D">
        <w:t>instalacją OZE w modernizowanych energetycznie budynkach,</w:t>
      </w:r>
    </w:p>
    <w:p w:rsidR="00244A1D" w:rsidRPr="00244A1D" w:rsidRDefault="00244A1D" w:rsidP="00775439">
      <w:pPr>
        <w:numPr>
          <w:ilvl w:val="0"/>
          <w:numId w:val="13"/>
        </w:numPr>
        <w:spacing w:line="360" w:lineRule="auto"/>
      </w:pPr>
      <w:r w:rsidRPr="00244A1D">
        <w:t>instalacją systemów chłodzących, w tym również z OZE,</w:t>
      </w:r>
    </w:p>
    <w:p w:rsidR="00244A1D" w:rsidRPr="00244A1D" w:rsidRDefault="00244A1D" w:rsidP="00775439">
      <w:pPr>
        <w:numPr>
          <w:ilvl w:val="0"/>
          <w:numId w:val="13"/>
        </w:numPr>
        <w:spacing w:line="360" w:lineRule="auto"/>
      </w:pPr>
      <w:r w:rsidRPr="00244A1D">
        <w:t>instalowaniem urządzeń energooszczędnych najnowszej generacji</w:t>
      </w:r>
    </w:p>
    <w:p w:rsidR="00244A1D" w:rsidRPr="00244A1D" w:rsidRDefault="00244A1D" w:rsidP="00775439">
      <w:pPr>
        <w:numPr>
          <w:ilvl w:val="0"/>
          <w:numId w:val="13"/>
        </w:numPr>
        <w:spacing w:line="360" w:lineRule="auto"/>
      </w:pPr>
      <w:r w:rsidRPr="00244A1D">
        <w:t>izolacją pokrycia dachowego,</w:t>
      </w:r>
    </w:p>
    <w:p w:rsidR="00244A1D" w:rsidRPr="00244A1D" w:rsidRDefault="00244A1D" w:rsidP="00775439">
      <w:pPr>
        <w:numPr>
          <w:ilvl w:val="0"/>
          <w:numId w:val="13"/>
        </w:numPr>
        <w:spacing w:line="360" w:lineRule="auto"/>
      </w:pPr>
      <w:r w:rsidRPr="00244A1D">
        <w:t>instalacją systemów inteligentnego zarządzania energią,</w:t>
      </w:r>
    </w:p>
    <w:p w:rsidR="00244A1D" w:rsidRPr="00244A1D" w:rsidRDefault="00244A1D" w:rsidP="00775439">
      <w:pPr>
        <w:numPr>
          <w:ilvl w:val="0"/>
          <w:numId w:val="13"/>
        </w:numPr>
        <w:spacing w:line="360" w:lineRule="auto"/>
      </w:pPr>
      <w:r w:rsidRPr="00244A1D">
        <w:lastRenderedPageBreak/>
        <w:t>przeprowadzeniem audytu energetycznego jako elementu koniecznego do realizacji projektu,</w:t>
      </w:r>
    </w:p>
    <w:p w:rsidR="00244A1D" w:rsidRPr="00244A1D" w:rsidRDefault="00244A1D" w:rsidP="00775439">
      <w:pPr>
        <w:numPr>
          <w:ilvl w:val="0"/>
          <w:numId w:val="13"/>
        </w:numPr>
        <w:spacing w:line="360" w:lineRule="auto"/>
      </w:pPr>
      <w:proofErr w:type="spellStart"/>
      <w:r w:rsidRPr="00244A1D">
        <w:t>mikrokogeneracją</w:t>
      </w:r>
      <w:proofErr w:type="spellEnd"/>
      <w:r w:rsidRPr="00244A1D">
        <w:t>.</w:t>
      </w:r>
    </w:p>
    <w:p w:rsidR="00244A1D" w:rsidRPr="00244A1D" w:rsidRDefault="00244A1D" w:rsidP="00244A1D">
      <w:pPr>
        <w:spacing w:line="360" w:lineRule="auto"/>
        <w:rPr>
          <w:bCs/>
        </w:rPr>
      </w:pPr>
      <w:r w:rsidRPr="00244A1D">
        <w:t xml:space="preserve">Wsparcie może zostać udzielone na inwestycje w kotły spalające biomasę lub ewentualnie paliwa gazowe, ale jedynie w szczególnie uzasadnionych przypadkach, gdy osiągnięte zostanie znaczne zwiększenie efektywności energetycznej oraz gdy istnieją szczególnie pilne potrzeby. Inwestycje w muszą przyczyniać się do zmniejszenia emisji CO2 i innych zanieczyszczeń powietrza oraz do znacznego zwiększenia oszczędności energii. Wspomniane inwestycje mogą zostać wsparte jedynie w przypadku, gdy podłączenie do sieci ciepłowniczej na danym obszarze nie jest uzasadnione ekonomicznie. </w:t>
      </w:r>
    </w:p>
    <w:p w:rsidR="00244A1D" w:rsidRPr="00244A1D" w:rsidRDefault="00244A1D" w:rsidP="00244A1D">
      <w:pPr>
        <w:spacing w:line="360" w:lineRule="auto"/>
      </w:pPr>
      <w:r w:rsidRPr="00244A1D">
        <w:rPr>
          <w:bCs/>
        </w:rPr>
        <w:t>Główni Beneficjenci, w szczególności:</w:t>
      </w:r>
    </w:p>
    <w:p w:rsidR="00244A1D" w:rsidRPr="00244A1D" w:rsidRDefault="00244A1D" w:rsidP="00775439">
      <w:pPr>
        <w:numPr>
          <w:ilvl w:val="0"/>
          <w:numId w:val="14"/>
        </w:numPr>
        <w:spacing w:line="360" w:lineRule="auto"/>
      </w:pPr>
      <w:r w:rsidRPr="00244A1D">
        <w:t>jednostki samorządu terytorialnego lub podmioty działające w imieniu JST ,</w:t>
      </w:r>
    </w:p>
    <w:p w:rsidR="00244A1D" w:rsidRPr="00244A1D" w:rsidRDefault="00244A1D" w:rsidP="00775439">
      <w:pPr>
        <w:numPr>
          <w:ilvl w:val="0"/>
          <w:numId w:val="14"/>
        </w:numPr>
        <w:spacing w:line="360" w:lineRule="auto"/>
      </w:pPr>
      <w:r w:rsidRPr="00244A1D">
        <w:t>spółdzielnie i wspólnoty mieszkaniowe,</w:t>
      </w:r>
    </w:p>
    <w:p w:rsidR="00244A1D" w:rsidRPr="00244A1D" w:rsidRDefault="00244A1D" w:rsidP="00775439">
      <w:pPr>
        <w:numPr>
          <w:ilvl w:val="0"/>
          <w:numId w:val="14"/>
        </w:numPr>
        <w:spacing w:line="360" w:lineRule="auto"/>
      </w:pPr>
      <w:r w:rsidRPr="00244A1D">
        <w:t>związki i stowarzyszenia JST,</w:t>
      </w:r>
    </w:p>
    <w:p w:rsidR="00244A1D" w:rsidRPr="00244A1D" w:rsidRDefault="00244A1D" w:rsidP="00775439">
      <w:pPr>
        <w:numPr>
          <w:ilvl w:val="0"/>
          <w:numId w:val="14"/>
        </w:numPr>
        <w:spacing w:line="360" w:lineRule="auto"/>
      </w:pPr>
      <w:r w:rsidRPr="00244A1D">
        <w:t>TBS,</w:t>
      </w:r>
    </w:p>
    <w:p w:rsidR="00244A1D" w:rsidRPr="00244A1D" w:rsidRDefault="00244A1D" w:rsidP="00775439">
      <w:pPr>
        <w:numPr>
          <w:ilvl w:val="0"/>
          <w:numId w:val="14"/>
        </w:numPr>
        <w:spacing w:line="360" w:lineRule="auto"/>
      </w:pPr>
      <w:r w:rsidRPr="00244A1D">
        <w:t>samorządowe jednostki organizacyjne posiadające osobowość prawną,</w:t>
      </w:r>
    </w:p>
    <w:p w:rsidR="00244A1D" w:rsidRPr="00244A1D" w:rsidRDefault="00244A1D" w:rsidP="00775439">
      <w:pPr>
        <w:numPr>
          <w:ilvl w:val="0"/>
          <w:numId w:val="14"/>
        </w:numPr>
        <w:spacing w:line="360" w:lineRule="auto"/>
      </w:pPr>
      <w:r w:rsidRPr="00244A1D">
        <w:t>uczelnie,</w:t>
      </w:r>
    </w:p>
    <w:p w:rsidR="00244A1D" w:rsidRPr="00244A1D" w:rsidRDefault="00244A1D" w:rsidP="00775439">
      <w:pPr>
        <w:numPr>
          <w:ilvl w:val="0"/>
          <w:numId w:val="14"/>
        </w:numPr>
        <w:spacing w:line="360" w:lineRule="auto"/>
      </w:pPr>
      <w:r w:rsidRPr="00244A1D">
        <w:t xml:space="preserve">inne podmioty prowadzące działalność w sferze usług publicznych w różnych formach organizacyjnych, posiadających osobowość prawną np. fundacje </w:t>
      </w:r>
      <w:r w:rsidRPr="00244A1D">
        <w:br/>
        <w:t>i stowarzyszenia,</w:t>
      </w:r>
    </w:p>
    <w:p w:rsidR="00244A1D" w:rsidRPr="00244A1D" w:rsidRDefault="00244A1D" w:rsidP="00775439">
      <w:pPr>
        <w:numPr>
          <w:ilvl w:val="0"/>
          <w:numId w:val="14"/>
        </w:numPr>
        <w:spacing w:line="360" w:lineRule="auto"/>
      </w:pPr>
      <w:r w:rsidRPr="00244A1D">
        <w:t xml:space="preserve">policja, </w:t>
      </w:r>
    </w:p>
    <w:p w:rsidR="00244A1D" w:rsidRPr="00244A1D" w:rsidRDefault="00244A1D" w:rsidP="00775439">
      <w:pPr>
        <w:numPr>
          <w:ilvl w:val="0"/>
          <w:numId w:val="14"/>
        </w:numPr>
        <w:spacing w:line="360" w:lineRule="auto"/>
      </w:pPr>
      <w:r w:rsidRPr="00244A1D">
        <w:t>podmioty lecznicze wykonujące na terenie województwa świętokrzyskiego</w:t>
      </w:r>
    </w:p>
    <w:p w:rsidR="00244A1D" w:rsidRPr="00244A1D" w:rsidRDefault="00244A1D" w:rsidP="00775439">
      <w:pPr>
        <w:numPr>
          <w:ilvl w:val="0"/>
          <w:numId w:val="14"/>
        </w:numPr>
        <w:spacing w:line="360" w:lineRule="auto"/>
      </w:pPr>
      <w:r w:rsidRPr="00244A1D">
        <w:t>działalność leczniczą finansowaną ze środków publicznych,</w:t>
      </w:r>
    </w:p>
    <w:p w:rsidR="00244A1D" w:rsidRPr="00244A1D" w:rsidRDefault="00244A1D" w:rsidP="00775439">
      <w:pPr>
        <w:numPr>
          <w:ilvl w:val="0"/>
          <w:numId w:val="14"/>
        </w:numPr>
        <w:spacing w:line="360" w:lineRule="auto"/>
      </w:pPr>
      <w:r w:rsidRPr="00244A1D">
        <w:t>samorządowe osoby prawne,</w:t>
      </w:r>
    </w:p>
    <w:p w:rsidR="00244A1D" w:rsidRPr="00244A1D" w:rsidRDefault="00244A1D" w:rsidP="00775439">
      <w:pPr>
        <w:numPr>
          <w:ilvl w:val="0"/>
          <w:numId w:val="14"/>
        </w:numPr>
        <w:spacing w:line="360" w:lineRule="auto"/>
      </w:pPr>
      <w:r w:rsidRPr="00244A1D">
        <w:t xml:space="preserve">jednostki ochotniczej i Państwowej Straży Pożarnej </w:t>
      </w:r>
    </w:p>
    <w:p w:rsidR="00244A1D" w:rsidRPr="006A5F6C" w:rsidRDefault="00244A1D" w:rsidP="00244A1D">
      <w:pPr>
        <w:spacing w:line="360" w:lineRule="auto"/>
        <w:rPr>
          <w:u w:val="single"/>
        </w:rPr>
      </w:pPr>
      <w:r w:rsidRPr="006A5F6C">
        <w:rPr>
          <w:u w:val="single"/>
        </w:rPr>
        <w:t>Zasady wyboru projektów</w:t>
      </w:r>
    </w:p>
    <w:p w:rsidR="00244A1D" w:rsidRPr="00244A1D" w:rsidRDefault="00244A1D" w:rsidP="00244A1D">
      <w:pPr>
        <w:spacing w:line="360" w:lineRule="auto"/>
      </w:pPr>
      <w:r w:rsidRPr="00244A1D">
        <w:t xml:space="preserve">W ramach priorytetu inwestycyjnego 4.c zakłada się zastosowanie konkursowego trybu wyboru projektów z uwzględnieniem zapisów Umowy Partnerstwa i wytycznych horyzontalnych w zakresie trybów wyboru projektów na lata 2014-2020. Proces wyboru </w:t>
      </w:r>
      <w:r w:rsidRPr="00244A1D">
        <w:lastRenderedPageBreak/>
        <w:t xml:space="preserve">projektów uwzględniać będzie wymogi wynikające z Rozporządzenia ogólnego, </w:t>
      </w:r>
      <w:r w:rsidRPr="00244A1D">
        <w:br/>
        <w:t xml:space="preserve">w szczególności w zakresie stosowania przejrzystych i </w:t>
      </w:r>
      <w:proofErr w:type="spellStart"/>
      <w:r w:rsidRPr="00244A1D">
        <w:t>niedyskryminacyjnych</w:t>
      </w:r>
      <w:proofErr w:type="spellEnd"/>
      <w:r w:rsidRPr="00244A1D">
        <w:t xml:space="preserve"> procedur wyboru i kryteriów. Metodyka oraz kryteria wyboru operacji zostaną zatwierdzone przez Komitet Monitorujący. W trybie konkursowym projekty wybierane będą w oparciu </w:t>
      </w:r>
      <w:r w:rsidRPr="00244A1D">
        <w:br/>
        <w:t xml:space="preserve">o określone kryteria wyboru projektów pozostające w zgodności z celami Programu. </w:t>
      </w:r>
    </w:p>
    <w:p w:rsidR="00244A1D" w:rsidRPr="00244A1D" w:rsidRDefault="00244A1D" w:rsidP="00244A1D">
      <w:pPr>
        <w:spacing w:line="360" w:lineRule="auto"/>
      </w:pPr>
      <w:r w:rsidRPr="00244A1D">
        <w:t xml:space="preserve">Z uwagi na szeroką grupę potencjalnych beneficjentów uprawnionych do ubiegania się </w:t>
      </w:r>
      <w:r w:rsidRPr="00244A1D">
        <w:br/>
        <w:t xml:space="preserve">o dotację w ramach priorytetów, zastosowanie trybu konkursowego pozwoli na wybór projektów o najwyższej wartości dodanej. </w:t>
      </w:r>
    </w:p>
    <w:p w:rsidR="00244A1D" w:rsidRPr="00244A1D" w:rsidRDefault="00244A1D" w:rsidP="00244A1D">
      <w:pPr>
        <w:spacing w:line="360" w:lineRule="auto"/>
      </w:pPr>
      <w:r w:rsidRPr="00244A1D">
        <w:t xml:space="preserve">Kluczowe w ramach oceny projektów będzie kryterium efektywności kosztowej </w:t>
      </w:r>
      <w:r w:rsidRPr="00244A1D">
        <w:br/>
        <w:t>w powiązaniu z osiąganymi efektami ekologicznymi w stosunku do planowanych nakładów finansowych. Poza tym o wsparciu takich projektów decydować będą także inne osiągane rezultaty w stosunku do planowanych nakładów finansowych (np. wielkość redukcji CO</w:t>
      </w:r>
      <w:r w:rsidRPr="00244A1D">
        <w:rPr>
          <w:vertAlign w:val="subscript"/>
        </w:rPr>
        <w:t>2</w:t>
      </w:r>
      <w:r w:rsidRPr="00244A1D">
        <w:t xml:space="preserve">, ilość zaoszczędzonej energii cieplnej, ilość zaoszczędzonej energii elektrycznej). Wzmocnieniu efektów realizowanych projektów służyć będzie wdrożenie inteligentnych systemów zarządzania energią w oparciu o technologie TIK. Ponadto identyfikacja optymalnego zestawu działań zwiększających efektywność energetyczną w danym budynku dokonywana będzie na podstawie audytu energetycznego (stanowiącego element projektu wspieranego w ramach CT4). Ponadto priorytetowo traktowane będą budynki pełniące ważne funkcje społeczne, w tym: budynki przeznaczone dla administracji, wymiaru sprawiedliwości, kultury, oświaty, szkolnictwa wyższego, nauki, opieki zdrowotnej, itp. </w:t>
      </w:r>
    </w:p>
    <w:p w:rsidR="00244A1D" w:rsidRPr="00244A1D" w:rsidRDefault="00244A1D" w:rsidP="00244A1D">
      <w:pPr>
        <w:spacing w:line="360" w:lineRule="auto"/>
      </w:pPr>
      <w:r w:rsidRPr="00244A1D">
        <w:t xml:space="preserve">Warunkiem wsparcia projektów dotyczących kompleksowej, głębokiej modernizacji energetycznej budynków będzie również konieczność zastosowania indywidualnych liczników ciepła, ciepłej wody oraz chłodu. Dodatkowo istnieje obowiązek instalacji termostatów i zaworów </w:t>
      </w:r>
      <w:proofErr w:type="spellStart"/>
      <w:r w:rsidRPr="00244A1D">
        <w:t>podpionowych</w:t>
      </w:r>
      <w:proofErr w:type="spellEnd"/>
      <w:r w:rsidRPr="00244A1D">
        <w:t xml:space="preserve">, jeżeli będzie to wynikać z przeprowadzonego audytu energetycznego. Powyższe wydatki będą stanowić koszt kwalifikowany. </w:t>
      </w:r>
    </w:p>
    <w:p w:rsidR="00244A1D" w:rsidRPr="00244A1D" w:rsidRDefault="00244A1D" w:rsidP="00244A1D">
      <w:pPr>
        <w:spacing w:line="360" w:lineRule="auto"/>
      </w:pPr>
      <w:r w:rsidRPr="00244A1D">
        <w:t xml:space="preserve">Preferowane będą projekty zwiększające efektywność energetyczną powyżej 60%, natomiast projekty z zakresu głębokiej, kompleksowej modernizacji energetycznej zwiększające efektywność energetyczną poniżej 25% nie będą kwalifikowały się do dofinansowania. </w:t>
      </w:r>
    </w:p>
    <w:p w:rsidR="00244A1D" w:rsidRPr="00244A1D" w:rsidRDefault="00244A1D" w:rsidP="00244A1D">
      <w:pPr>
        <w:spacing w:line="360" w:lineRule="auto"/>
      </w:pPr>
      <w:r w:rsidRPr="00244A1D">
        <w:t xml:space="preserve">W obszarze ochrony zdrowia projekty z zakresu termomodernizacji mogą dotyczyć tylko obiektów, których funkcjonowanie będzie uzasadnione w kontekście map potrzeb zdrowotnych opracowanych przez Ministerstwo Zdrowia. W ramach PI 4c mogą być wspierane jedynie inwestycje w najlepiej działające urządzenia do ogrzewania </w:t>
      </w:r>
      <w:r w:rsidRPr="00244A1D">
        <w:br/>
        <w:t xml:space="preserve">(a szczególności ogrzewacze i kotły wykorzystujące paliwa stałe; ogrzewacze pomieszczeń </w:t>
      </w:r>
      <w:r w:rsidRPr="00244A1D">
        <w:br/>
        <w:t>i ogrzewacze wielofunkcyjne oraz inne kotły i urządzenia do ogrzewania pomieszczeń) dostępne na rynku w chwili ogłoszenia odpowiedniego konkursu.</w:t>
      </w:r>
    </w:p>
    <w:p w:rsidR="00244A1D" w:rsidRPr="00244A1D" w:rsidRDefault="00244A1D" w:rsidP="00244A1D">
      <w:pPr>
        <w:spacing w:line="360" w:lineRule="auto"/>
      </w:pPr>
      <w:r w:rsidRPr="00244A1D">
        <w:lastRenderedPageBreak/>
        <w:t xml:space="preserve">W przypadku działań z zakresu budowy indywidualnych pieców i </w:t>
      </w:r>
      <w:proofErr w:type="spellStart"/>
      <w:r w:rsidRPr="00244A1D">
        <w:t>mikrokogeneracji</w:t>
      </w:r>
      <w:proofErr w:type="spellEnd"/>
      <w:r w:rsidRPr="00244A1D">
        <w:t xml:space="preserve"> wsparte projekty muszą skutkować znaczną redukcją CO2 w odniesie</w:t>
      </w:r>
      <w:r w:rsidR="006A5F6C">
        <w:t xml:space="preserve">niu do istniejących instalacji </w:t>
      </w:r>
      <w:r w:rsidRPr="00244A1D">
        <w:t xml:space="preserve">(o co najmniej 30% w przypadku zamiany spalanego paliwa). Inwestycje w tym zakresie mają długotrwały charakter i dlatego powinny być zgodne z właściwymi przepisami unijnymi. Wspierane urządzenia do ogrzewania powinny od początku okresu programowania charakteryzować obowiązującym od końca 2020r. minimalnym poziomem efektywności energetycznej i normami emisji zanieczyszczeń. </w:t>
      </w:r>
    </w:p>
    <w:p w:rsidR="00244A1D" w:rsidRPr="00244A1D" w:rsidRDefault="00244A1D" w:rsidP="00244A1D">
      <w:pPr>
        <w:spacing w:line="360" w:lineRule="auto"/>
      </w:pPr>
      <w:r w:rsidRPr="00244A1D">
        <w:t xml:space="preserve">Projekty powinny być uzasadnione ekonomicznie i społecznie oraz przeciwdziałać ubóstwu energetycznemu. Priorytetowo powinny być wspierane projekty wykorzystujące odnawialne źródła energii. Wsparcie powinno być uwarunkowane wykonaniem inwestycji zwiększających efektywność energetyczna i ograniczających zapotrzebowanie na energię </w:t>
      </w:r>
      <w:r w:rsidRPr="00244A1D">
        <w:br/>
        <w:t xml:space="preserve">w budynkach, w których wykorzystywana jest energia ze wspieranych urządzeń. Wszelkie inwestycje powinny być zgodne z unijnymi standardami i przepisami w zakresie ochrony środowiska. Preferowane powinno być wsparcie udzielane poprzez przedsiębiorstwa usług energetycznych (ESCO) oraz instrumenty finansowe. </w:t>
      </w:r>
    </w:p>
    <w:p w:rsidR="00244A1D" w:rsidRPr="006A5F6C" w:rsidRDefault="00244A1D" w:rsidP="00244A1D">
      <w:pPr>
        <w:spacing w:line="360" w:lineRule="auto"/>
        <w:rPr>
          <w:u w:val="single"/>
        </w:rPr>
      </w:pPr>
      <w:r w:rsidRPr="006A5F6C">
        <w:rPr>
          <w:u w:val="single"/>
        </w:rPr>
        <w:t>Poziom dofinansowania:</w:t>
      </w:r>
    </w:p>
    <w:p w:rsidR="00244A1D" w:rsidRPr="00244A1D" w:rsidRDefault="00244A1D" w:rsidP="00244A1D">
      <w:pPr>
        <w:spacing w:line="360" w:lineRule="auto"/>
      </w:pPr>
      <w:r w:rsidRPr="00244A1D">
        <w:t>Podstawowy poziom dofinansowania środkami RPOWŚ 2014-2020 dla projektu wynosi 85% kosztów kwalifikowanych. W przypadku, gdy wsparcie projektu stanowi pomoc publiczną, maksymalny poziom dofinansowania projektu wynika z odpowiednich przepisów, regulujących zasady udzielania pomocy publicznej</w:t>
      </w:r>
    </w:p>
    <w:p w:rsidR="00244A1D" w:rsidRPr="00244A1D" w:rsidRDefault="00244A1D" w:rsidP="00244A1D">
      <w:pPr>
        <w:spacing w:line="360" w:lineRule="auto"/>
      </w:pPr>
      <w:r w:rsidRPr="00244A1D">
        <w:rPr>
          <w:b/>
          <w:i/>
        </w:rPr>
        <w:t>d) Priorytet inwestycyjny 4e: Promowanie strategii niskoemisyjnych dla wszystkich rodzajów terytoriów, w szczególności dla obszarów miejskich, w tym wspieranie zrównoważonej multimodalnej mobilności miejskiej i działań adaptacyjnych mających oddziaływanie łagodzące na zmiany klimatu</w:t>
      </w:r>
    </w:p>
    <w:p w:rsidR="00244A1D" w:rsidRPr="00244A1D" w:rsidRDefault="00244A1D" w:rsidP="00244A1D">
      <w:pPr>
        <w:spacing w:line="360" w:lineRule="auto"/>
        <w:rPr>
          <w:b/>
          <w:i/>
        </w:rPr>
      </w:pPr>
      <w:r w:rsidRPr="00244A1D">
        <w:rPr>
          <w:b/>
          <w:i/>
        </w:rPr>
        <w:t>Cele szczegółowe: Ograniczona emisja pyłów i substancji szkodliwych do atmosfery.</w:t>
      </w:r>
    </w:p>
    <w:p w:rsidR="00244A1D" w:rsidRPr="00244A1D" w:rsidRDefault="00244A1D" w:rsidP="00244A1D">
      <w:pPr>
        <w:spacing w:line="360" w:lineRule="auto"/>
      </w:pPr>
      <w:r w:rsidRPr="00244A1D">
        <w:t>Czwarty typ priorytetu ukierunkowany zostanie na obszary dla których przygotowane zostały plany gospodarki niskoemisyjnej, co bezpośrednio wpłynie na redukcję emisji gazów cieplarnianych oraz zanieczyszczeń pyłowych do atmosfery.</w:t>
      </w:r>
    </w:p>
    <w:p w:rsidR="00244A1D" w:rsidRPr="00244A1D" w:rsidRDefault="00244A1D" w:rsidP="00244A1D">
      <w:pPr>
        <w:spacing w:line="360" w:lineRule="auto"/>
      </w:pPr>
      <w:r w:rsidRPr="00244A1D">
        <w:t xml:space="preserve">Aby osiągnąć cel poprawy jakości powietrza niezbędna jest koncentracja działań </w:t>
      </w:r>
      <w:r w:rsidRPr="00244A1D">
        <w:br/>
        <w:t xml:space="preserve">w obszarze ekologicznego transportu publicznego. Wspierane będą głównie projekty dotyczące zakupu i modernizacji publicznych środków transportu zbiorowego wraz </w:t>
      </w:r>
      <w:r w:rsidRPr="00244A1D">
        <w:br/>
        <w:t xml:space="preserve">z niezbędną infrastrukturą usprawniającą funkcjonowanie tego transportu, w tym m.in.: parkingi </w:t>
      </w:r>
      <w:proofErr w:type="spellStart"/>
      <w:r w:rsidRPr="00244A1D">
        <w:t>Park&amp;Ride</w:t>
      </w:r>
      <w:proofErr w:type="spellEnd"/>
      <w:r w:rsidRPr="00244A1D">
        <w:t xml:space="preserve">, infrastruktura dworcowa, zintegrowane centra przesiadkowe czy ścieżki </w:t>
      </w:r>
      <w:r w:rsidRPr="00244A1D">
        <w:lastRenderedPageBreak/>
        <w:t>rowerowe. Wskazana jest również poprawa stanu infrastruktury np. modernizacja oświetlenia ulicznego na energooszczędne.</w:t>
      </w:r>
    </w:p>
    <w:p w:rsidR="00244A1D" w:rsidRPr="00244A1D" w:rsidRDefault="00244A1D" w:rsidP="00244A1D">
      <w:pPr>
        <w:spacing w:line="360" w:lineRule="auto"/>
      </w:pPr>
      <w:r w:rsidRPr="00244A1D">
        <w:t xml:space="preserve">Ponadto dofinansowanie uzyskają inwestycje w zakresie modernizacji i budowy scentralizowanych systemów ciepłowniczych, co spowoduje ograniczenie strat ciepła podczas przesyłu oraz umożliwi podłączenie nowych użytkowników, którzy dotychczas korzystali z indywidualnych źródeł ciepła. </w:t>
      </w:r>
    </w:p>
    <w:p w:rsidR="00244A1D" w:rsidRPr="00244A1D" w:rsidRDefault="00244A1D" w:rsidP="00244A1D">
      <w:pPr>
        <w:spacing w:line="360" w:lineRule="auto"/>
      </w:pPr>
      <w:r w:rsidRPr="00244A1D">
        <w:t xml:space="preserve">Planuje się również wsparcie przedsięwzięć polegających na wymianie bądź modernizacji źródeł ciepła z uwzględnieniem standardów ekologicznych. </w:t>
      </w:r>
    </w:p>
    <w:p w:rsidR="00244A1D" w:rsidRPr="00244A1D" w:rsidRDefault="00244A1D" w:rsidP="00244A1D">
      <w:pPr>
        <w:spacing w:line="360" w:lineRule="auto"/>
      </w:pPr>
      <w:r w:rsidRPr="00244A1D">
        <w:t xml:space="preserve">Dodatkowo, mając na uwadze zmniejszenie zużycia paliw oraz poprawę efektywności ekonomicznej sektora energetycznego, a także ograniczenie jego negatywnego oddziaływania na środowisko poprzez redukcję emisji substancji szkodliwych planowane jest dofinansowanie projektów w zakresie budowy lub modernizacji jednostek wytwarzania energii elektrycznej i ciepła w wysokosprawnej </w:t>
      </w:r>
      <w:proofErr w:type="spellStart"/>
      <w:r w:rsidRPr="00244A1D">
        <w:t>kogeneracji</w:t>
      </w:r>
      <w:proofErr w:type="spellEnd"/>
      <w:r w:rsidRPr="00244A1D">
        <w:t xml:space="preserve">, wraz </w:t>
      </w:r>
      <w:r w:rsidRPr="00244A1D">
        <w:br/>
        <w:t>z infrastrukturą do dystrybuowania wytworzonej energii.</w:t>
      </w:r>
    </w:p>
    <w:p w:rsidR="00244A1D" w:rsidRPr="006A5F6C" w:rsidRDefault="00244A1D" w:rsidP="00244A1D">
      <w:pPr>
        <w:spacing w:line="360" w:lineRule="auto"/>
        <w:rPr>
          <w:u w:val="single"/>
        </w:rPr>
      </w:pPr>
      <w:r w:rsidRPr="006A5F6C">
        <w:rPr>
          <w:u w:val="single"/>
        </w:rPr>
        <w:t>Typy przedsięwzięć:</w:t>
      </w:r>
    </w:p>
    <w:p w:rsidR="00244A1D" w:rsidRPr="00244A1D" w:rsidRDefault="00244A1D" w:rsidP="00775439">
      <w:pPr>
        <w:numPr>
          <w:ilvl w:val="0"/>
          <w:numId w:val="15"/>
        </w:numPr>
        <w:spacing w:line="360" w:lineRule="auto"/>
      </w:pPr>
      <w:r w:rsidRPr="00244A1D">
        <w:t xml:space="preserve">modernizacja oświetlenia ulicznego (ulic placów, terenów publicznych)na energooszczędne, </w:t>
      </w:r>
    </w:p>
    <w:p w:rsidR="00244A1D" w:rsidRPr="00244A1D" w:rsidRDefault="00244A1D" w:rsidP="00775439">
      <w:pPr>
        <w:numPr>
          <w:ilvl w:val="0"/>
          <w:numId w:val="15"/>
        </w:numPr>
        <w:spacing w:line="360" w:lineRule="auto"/>
      </w:pPr>
      <w:r w:rsidRPr="00244A1D">
        <w:t xml:space="preserve">budowa lub modernizacja sieci ciepłowniczej, </w:t>
      </w:r>
    </w:p>
    <w:p w:rsidR="00244A1D" w:rsidRPr="00244A1D" w:rsidRDefault="00244A1D" w:rsidP="00775439">
      <w:pPr>
        <w:numPr>
          <w:ilvl w:val="0"/>
          <w:numId w:val="15"/>
        </w:numPr>
        <w:spacing w:line="360" w:lineRule="auto"/>
      </w:pPr>
      <w:r w:rsidRPr="00244A1D">
        <w:t xml:space="preserve">wymiana źródeł ciepła, </w:t>
      </w:r>
    </w:p>
    <w:p w:rsidR="00244A1D" w:rsidRPr="00244A1D" w:rsidRDefault="00244A1D" w:rsidP="00775439">
      <w:pPr>
        <w:numPr>
          <w:ilvl w:val="0"/>
          <w:numId w:val="15"/>
        </w:numPr>
        <w:spacing w:line="360" w:lineRule="auto"/>
      </w:pPr>
      <w:proofErr w:type="spellStart"/>
      <w:r w:rsidRPr="00244A1D">
        <w:t>mikrokogeneracja</w:t>
      </w:r>
      <w:proofErr w:type="spellEnd"/>
      <w:r w:rsidRPr="00244A1D">
        <w:t>,</w:t>
      </w:r>
    </w:p>
    <w:p w:rsidR="00244A1D" w:rsidRPr="00244A1D" w:rsidRDefault="00244A1D" w:rsidP="00775439">
      <w:pPr>
        <w:numPr>
          <w:ilvl w:val="0"/>
          <w:numId w:val="15"/>
        </w:numPr>
        <w:spacing w:line="360" w:lineRule="auto"/>
      </w:pPr>
      <w:r w:rsidRPr="00244A1D">
        <w:t xml:space="preserve">działania informacyjno-promocyjne dotyczące np. oszczędności energii, </w:t>
      </w:r>
    </w:p>
    <w:p w:rsidR="00244A1D" w:rsidRPr="00244A1D" w:rsidRDefault="00244A1D" w:rsidP="00775439">
      <w:pPr>
        <w:numPr>
          <w:ilvl w:val="0"/>
          <w:numId w:val="15"/>
        </w:numPr>
        <w:spacing w:line="360" w:lineRule="auto"/>
      </w:pPr>
      <w:r w:rsidRPr="00244A1D">
        <w:t xml:space="preserve">kampanie promujące: budownictwo </w:t>
      </w:r>
      <w:proofErr w:type="spellStart"/>
      <w:r w:rsidRPr="00244A1D">
        <w:t>zeroemisyjne</w:t>
      </w:r>
      <w:proofErr w:type="spellEnd"/>
      <w:r w:rsidRPr="00244A1D">
        <w:t xml:space="preserve"> oraz inwestycje w zakresie budownictwa pasywnego.</w:t>
      </w:r>
    </w:p>
    <w:p w:rsidR="006A5F6C" w:rsidRDefault="006A5F6C" w:rsidP="00244A1D">
      <w:pPr>
        <w:spacing w:line="360" w:lineRule="auto"/>
      </w:pPr>
    </w:p>
    <w:p w:rsidR="00244A1D" w:rsidRPr="006A5F6C" w:rsidRDefault="00244A1D" w:rsidP="00244A1D">
      <w:pPr>
        <w:spacing w:line="360" w:lineRule="auto"/>
        <w:rPr>
          <w:u w:val="single"/>
        </w:rPr>
      </w:pPr>
      <w:r w:rsidRPr="006A5F6C">
        <w:rPr>
          <w:u w:val="single"/>
        </w:rPr>
        <w:t>Główni beneficjenci, w szczególności:</w:t>
      </w:r>
    </w:p>
    <w:p w:rsidR="00244A1D" w:rsidRPr="00244A1D" w:rsidRDefault="00244A1D" w:rsidP="00775439">
      <w:pPr>
        <w:numPr>
          <w:ilvl w:val="0"/>
          <w:numId w:val="16"/>
        </w:numPr>
        <w:spacing w:line="360" w:lineRule="auto"/>
      </w:pPr>
      <w:r w:rsidRPr="00244A1D">
        <w:t>jednostki samorządu terytorialnego,</w:t>
      </w:r>
    </w:p>
    <w:p w:rsidR="00244A1D" w:rsidRPr="00244A1D" w:rsidRDefault="00244A1D" w:rsidP="00775439">
      <w:pPr>
        <w:numPr>
          <w:ilvl w:val="0"/>
          <w:numId w:val="16"/>
        </w:numPr>
        <w:spacing w:line="360" w:lineRule="auto"/>
      </w:pPr>
      <w:r w:rsidRPr="00244A1D">
        <w:t>przedsiębiorstwa duże, średnie, małe, mikro świadczące usługi publiczne na terenie województwa Świętokrzyskiego,</w:t>
      </w:r>
    </w:p>
    <w:p w:rsidR="00244A1D" w:rsidRPr="00244A1D" w:rsidRDefault="00244A1D" w:rsidP="00775439">
      <w:pPr>
        <w:numPr>
          <w:ilvl w:val="0"/>
          <w:numId w:val="16"/>
        </w:numPr>
        <w:spacing w:line="360" w:lineRule="auto"/>
      </w:pPr>
      <w:r w:rsidRPr="00244A1D">
        <w:t>partnerzy społeczni i gospodarczy działający na terenie województwa świętokrzyskiego ,</w:t>
      </w:r>
    </w:p>
    <w:p w:rsidR="00244A1D" w:rsidRPr="00244A1D" w:rsidRDefault="00244A1D" w:rsidP="00775439">
      <w:pPr>
        <w:numPr>
          <w:ilvl w:val="0"/>
          <w:numId w:val="16"/>
        </w:numPr>
        <w:spacing w:line="360" w:lineRule="auto"/>
      </w:pPr>
      <w:r w:rsidRPr="00244A1D">
        <w:lastRenderedPageBreak/>
        <w:t>organizacje pozarządowe (NGO),</w:t>
      </w:r>
    </w:p>
    <w:p w:rsidR="00244A1D" w:rsidRPr="00244A1D" w:rsidRDefault="00244A1D" w:rsidP="00775439">
      <w:pPr>
        <w:numPr>
          <w:ilvl w:val="0"/>
          <w:numId w:val="16"/>
        </w:numPr>
        <w:spacing w:line="360" w:lineRule="auto"/>
      </w:pPr>
      <w:r w:rsidRPr="00244A1D">
        <w:t>samorządowe osoby prawne,</w:t>
      </w:r>
    </w:p>
    <w:p w:rsidR="00244A1D" w:rsidRPr="00244A1D" w:rsidRDefault="00244A1D" w:rsidP="00775439">
      <w:pPr>
        <w:numPr>
          <w:ilvl w:val="0"/>
          <w:numId w:val="16"/>
        </w:numPr>
        <w:spacing w:line="360" w:lineRule="auto"/>
      </w:pPr>
      <w:r w:rsidRPr="00244A1D">
        <w:t>instytucje otoczenia biznesu,</w:t>
      </w:r>
    </w:p>
    <w:p w:rsidR="00244A1D" w:rsidRPr="00244A1D" w:rsidRDefault="00244A1D" w:rsidP="00775439">
      <w:pPr>
        <w:numPr>
          <w:ilvl w:val="0"/>
          <w:numId w:val="16"/>
        </w:numPr>
        <w:spacing w:line="360" w:lineRule="auto"/>
      </w:pPr>
      <w:r w:rsidRPr="00244A1D">
        <w:t>uczelnie,</w:t>
      </w:r>
    </w:p>
    <w:p w:rsidR="00244A1D" w:rsidRPr="00244A1D" w:rsidRDefault="00244A1D" w:rsidP="00775439">
      <w:pPr>
        <w:numPr>
          <w:ilvl w:val="0"/>
          <w:numId w:val="16"/>
        </w:numPr>
        <w:spacing w:line="360" w:lineRule="auto"/>
      </w:pPr>
      <w:r w:rsidRPr="00244A1D">
        <w:t>państwowe jednostki budżetowe,</w:t>
      </w:r>
    </w:p>
    <w:p w:rsidR="00244A1D" w:rsidRPr="00244A1D" w:rsidRDefault="00244A1D" w:rsidP="00775439">
      <w:pPr>
        <w:numPr>
          <w:ilvl w:val="0"/>
          <w:numId w:val="16"/>
        </w:numPr>
        <w:spacing w:line="360" w:lineRule="auto"/>
      </w:pPr>
      <w:r w:rsidRPr="00244A1D">
        <w:t>instytucje kultury.</w:t>
      </w:r>
    </w:p>
    <w:p w:rsidR="00244A1D" w:rsidRPr="006A5F6C" w:rsidRDefault="006A5F6C" w:rsidP="00244A1D">
      <w:pPr>
        <w:spacing w:line="360" w:lineRule="auto"/>
        <w:rPr>
          <w:u w:val="single"/>
        </w:rPr>
      </w:pPr>
      <w:r w:rsidRPr="006A5F6C">
        <w:rPr>
          <w:u w:val="single"/>
        </w:rPr>
        <w:t>Zasady wyboru projektów:</w:t>
      </w:r>
    </w:p>
    <w:p w:rsidR="00244A1D" w:rsidRPr="00244A1D" w:rsidRDefault="00244A1D" w:rsidP="00244A1D">
      <w:pPr>
        <w:spacing w:line="360" w:lineRule="auto"/>
      </w:pPr>
      <w:r w:rsidRPr="00244A1D">
        <w:t xml:space="preserve">W ramach priorytetu inwestycyjnego 4.e zakłada się zastosowanie konkursowego trybu wyboru projektów z uwzględnieniem zapisów Umowy Partnerstwa i wytycznych horyzontalnych w tym zakresie w zakresie trybów wyboru projektów na lata 2014-2020. Proces wyboru projektów uwzględniać będzie wymogi wynikające z Rozporządzenia ogólnego, w szczególności w zakresie stosowania przejrzystych i </w:t>
      </w:r>
      <w:proofErr w:type="spellStart"/>
      <w:r w:rsidRPr="00244A1D">
        <w:t>niedyskryminacyjnych</w:t>
      </w:r>
      <w:proofErr w:type="spellEnd"/>
      <w:r w:rsidRPr="00244A1D">
        <w:t xml:space="preserve"> procedur wyboru i kryteriów. Metodyka oraz kryteria wyboru operacji zostaną zatwierdzone przez Komitet Monitorujący. W trybie konkursowym pro</w:t>
      </w:r>
      <w:r w:rsidR="00163FBA">
        <w:t xml:space="preserve">jekty wybierane będą w oparciu </w:t>
      </w:r>
      <w:r w:rsidRPr="00244A1D">
        <w:t xml:space="preserve">o określone kryteria wyboru projektów pozostające w zgodności z celami Programu. </w:t>
      </w:r>
    </w:p>
    <w:p w:rsidR="00244A1D" w:rsidRPr="00244A1D" w:rsidRDefault="00244A1D" w:rsidP="00244A1D">
      <w:pPr>
        <w:spacing w:line="360" w:lineRule="auto"/>
      </w:pPr>
      <w:r w:rsidRPr="00244A1D">
        <w:t xml:space="preserve">Z uwagi na szeroką grupę potencjalnych beneficjentów uprawnionych do ubiegania się </w:t>
      </w:r>
      <w:r w:rsidRPr="00244A1D">
        <w:br/>
        <w:t xml:space="preserve">o dotację w ramach priorytetów, zastosowanie trybu konkursowego pozwoli na wybór projektów o najwyższej wartości dodanej. Kluczowe w ramach oceny projektów będzie kryterium efektywności kosztowej w powiązaniu z osiąganymi efektami ekologicznymi </w:t>
      </w:r>
      <w:r w:rsidRPr="00244A1D">
        <w:br/>
        <w:t>w stosunku do planowanych nakładów finansowych. Poza tym o wsparciu takich projektów decydować będą także inne osiągane rezultaty np. wielkość redukcji CO2. Wzmocnieniu efektów realizowanych projektów służyć będzie wdrożenie inteligentnych systemów zarządzania energią w oparciu o technologie TIK.</w:t>
      </w:r>
    </w:p>
    <w:p w:rsidR="00163FBA" w:rsidRDefault="00163FBA" w:rsidP="00244A1D">
      <w:pPr>
        <w:spacing w:line="360" w:lineRule="auto"/>
      </w:pPr>
    </w:p>
    <w:p w:rsidR="00163FBA" w:rsidRDefault="00163FBA" w:rsidP="00244A1D">
      <w:pPr>
        <w:spacing w:line="360" w:lineRule="auto"/>
      </w:pPr>
    </w:p>
    <w:p w:rsidR="00244A1D" w:rsidRPr="006A5F6C" w:rsidRDefault="00244A1D" w:rsidP="00244A1D">
      <w:pPr>
        <w:spacing w:line="360" w:lineRule="auto"/>
        <w:rPr>
          <w:u w:val="single"/>
        </w:rPr>
      </w:pPr>
      <w:r w:rsidRPr="006A5F6C">
        <w:rPr>
          <w:u w:val="single"/>
        </w:rPr>
        <w:t>Poziom dofinansowania:</w:t>
      </w:r>
    </w:p>
    <w:p w:rsidR="00244A1D" w:rsidRPr="00244A1D" w:rsidRDefault="00244A1D" w:rsidP="00244A1D">
      <w:pPr>
        <w:spacing w:line="360" w:lineRule="auto"/>
      </w:pPr>
      <w:r w:rsidRPr="00244A1D">
        <w:t>Podstawowy poziom dofinansowania środkami RPOWŚ 2014-2020 dla projektu wynosi 85% kosztów kwalifikowanych. W przypadku, gdy wsparcie projektu stanowi pomoc publiczną, maksymalny poziom dofinansowania projektu wynika z odpowiednich przepisów, regulujących zasady udzielania pomocy publicznej.</w:t>
      </w:r>
    </w:p>
    <w:p w:rsidR="00244A1D" w:rsidRPr="00244A1D" w:rsidRDefault="00244A1D" w:rsidP="00244A1D">
      <w:pPr>
        <w:spacing w:line="360" w:lineRule="auto"/>
        <w:rPr>
          <w:b/>
        </w:rPr>
      </w:pPr>
      <w:r w:rsidRPr="00244A1D">
        <w:rPr>
          <w:b/>
        </w:rPr>
        <w:t>Program ochrony środowiska dla województwa świętokrzyskiego</w:t>
      </w:r>
    </w:p>
    <w:p w:rsidR="00244A1D" w:rsidRPr="00244A1D" w:rsidRDefault="00244A1D" w:rsidP="00244A1D">
      <w:pPr>
        <w:spacing w:line="360" w:lineRule="auto"/>
      </w:pPr>
      <w:r w:rsidRPr="00244A1D">
        <w:lastRenderedPageBreak/>
        <w:t>W uchwalonym w październiku 2011 przez Zarząd Województwa Świętokrzyskiego, "Programie ochrony środowiska dla województwa świętokrzyskiego" szczególną uwagę poświęcono analizie stanu jakości powietrza oraz użycia odnawialnych źródeł energii na terenie województwa świętokrzyskiego.</w:t>
      </w:r>
    </w:p>
    <w:p w:rsidR="00244A1D" w:rsidRPr="00244A1D" w:rsidRDefault="00244A1D" w:rsidP="00244A1D">
      <w:pPr>
        <w:spacing w:line="360" w:lineRule="auto"/>
        <w:rPr>
          <w:b/>
          <w:i/>
        </w:rPr>
      </w:pPr>
      <w:r w:rsidRPr="00244A1D">
        <w:rPr>
          <w:b/>
          <w:i/>
        </w:rPr>
        <w:t>Poprawa jakości środowiska i bezpieczeństwa ekologicznego. Powietrze atmosferyczne.</w:t>
      </w:r>
    </w:p>
    <w:p w:rsidR="00244A1D" w:rsidRPr="00244A1D" w:rsidRDefault="00244A1D" w:rsidP="00244A1D">
      <w:pPr>
        <w:spacing w:line="360" w:lineRule="auto"/>
      </w:pPr>
      <w:r w:rsidRPr="00244A1D">
        <w:t>W dokumencie jako cel średniookresowy do 2019r. z zakresu ochrony powietrza ustalono poprawę jakości powietrza celem spełnienia standardów jakości powietrza. Aby osiągnąć powyższy cel ustalono następujące kierunki działań na lata 2011-2015:</w:t>
      </w:r>
    </w:p>
    <w:p w:rsidR="00244A1D" w:rsidRPr="00244A1D" w:rsidRDefault="00244A1D" w:rsidP="00775439">
      <w:pPr>
        <w:numPr>
          <w:ilvl w:val="0"/>
          <w:numId w:val="20"/>
        </w:numPr>
        <w:spacing w:line="360" w:lineRule="auto"/>
      </w:pPr>
      <w:r w:rsidRPr="00244A1D">
        <w:t xml:space="preserve">Wdrażanie programów ochrony powietrza (POP) dla stref zaliczonych do klasy C </w:t>
      </w:r>
      <w:r w:rsidRPr="00244A1D">
        <w:br/>
        <w:t xml:space="preserve">w zakresie wszystkich wymaganych substancji. </w:t>
      </w:r>
    </w:p>
    <w:p w:rsidR="00244A1D" w:rsidRPr="00244A1D" w:rsidRDefault="00244A1D" w:rsidP="00775439">
      <w:pPr>
        <w:numPr>
          <w:ilvl w:val="0"/>
          <w:numId w:val="20"/>
        </w:numPr>
        <w:spacing w:line="360" w:lineRule="auto"/>
      </w:pPr>
      <w:r w:rsidRPr="00244A1D">
        <w:t>Identyfikacja obszarów zagrożeń i podejmowanie działań zapobiegawczych na terenach stref zaliczonych do klasy B.</w:t>
      </w:r>
    </w:p>
    <w:p w:rsidR="00244A1D" w:rsidRPr="00244A1D" w:rsidRDefault="00244A1D" w:rsidP="00775439">
      <w:pPr>
        <w:numPr>
          <w:ilvl w:val="0"/>
          <w:numId w:val="20"/>
        </w:numPr>
        <w:spacing w:line="360" w:lineRule="auto"/>
      </w:pPr>
      <w:r w:rsidRPr="00244A1D">
        <w:t>Prowadzenie działań zmierzających do poprawy jakości powietrza na terenie stref zaliczonych do klasy D2.</w:t>
      </w:r>
    </w:p>
    <w:p w:rsidR="00244A1D" w:rsidRPr="00244A1D" w:rsidRDefault="00244A1D" w:rsidP="00775439">
      <w:pPr>
        <w:numPr>
          <w:ilvl w:val="0"/>
          <w:numId w:val="20"/>
        </w:numPr>
        <w:spacing w:line="360" w:lineRule="auto"/>
      </w:pPr>
      <w:r w:rsidRPr="00244A1D">
        <w:t>Wspieranie działań zmierzających do ograniczenia niskiej emisji ze źródeł komunalnych.</w:t>
      </w:r>
    </w:p>
    <w:p w:rsidR="00244A1D" w:rsidRPr="00244A1D" w:rsidRDefault="00244A1D" w:rsidP="00775439">
      <w:pPr>
        <w:numPr>
          <w:ilvl w:val="0"/>
          <w:numId w:val="20"/>
        </w:numPr>
        <w:spacing w:line="360" w:lineRule="auto"/>
      </w:pPr>
      <w:r w:rsidRPr="00244A1D">
        <w:t>Wspieranie działań inwestycyjnych podmiotów gospodarczych wpływających na ograniczenie emisji do powietrza.</w:t>
      </w:r>
    </w:p>
    <w:p w:rsidR="00244A1D" w:rsidRPr="00244A1D" w:rsidRDefault="00244A1D" w:rsidP="00775439">
      <w:pPr>
        <w:numPr>
          <w:ilvl w:val="0"/>
          <w:numId w:val="20"/>
        </w:numPr>
        <w:spacing w:line="360" w:lineRule="auto"/>
      </w:pPr>
      <w:r w:rsidRPr="00244A1D">
        <w:t>Ograniczanie wielkości emisji ze źródeł liniowych.</w:t>
      </w:r>
    </w:p>
    <w:p w:rsidR="00244A1D" w:rsidRPr="00244A1D" w:rsidRDefault="00244A1D" w:rsidP="00775439">
      <w:pPr>
        <w:numPr>
          <w:ilvl w:val="0"/>
          <w:numId w:val="20"/>
        </w:numPr>
        <w:spacing w:line="360" w:lineRule="auto"/>
      </w:pPr>
      <w:r w:rsidRPr="00244A1D">
        <w:t xml:space="preserve">Upowszechnianie stosowania technologii ograniczających emisje pyłów oraz </w:t>
      </w:r>
      <w:proofErr w:type="spellStart"/>
      <w:r w:rsidRPr="00244A1D">
        <w:t>NOx</w:t>
      </w:r>
      <w:proofErr w:type="spellEnd"/>
      <w:r w:rsidRPr="00244A1D">
        <w:br/>
        <w:t>i SO</w:t>
      </w:r>
      <w:r w:rsidRPr="00244A1D">
        <w:rPr>
          <w:vertAlign w:val="subscript"/>
        </w:rPr>
        <w:t>2</w:t>
      </w:r>
      <w:r w:rsidRPr="00244A1D">
        <w:t>.</w:t>
      </w:r>
    </w:p>
    <w:p w:rsidR="00244A1D" w:rsidRPr="00244A1D" w:rsidRDefault="00244A1D" w:rsidP="00775439">
      <w:pPr>
        <w:numPr>
          <w:ilvl w:val="0"/>
          <w:numId w:val="20"/>
        </w:numPr>
        <w:spacing w:line="360" w:lineRule="auto"/>
      </w:pPr>
      <w:r w:rsidRPr="00244A1D">
        <w:t>Wdrożenie instrumentów finansowych i fiskalnych sprzyjających poprawie jakości powietrza.</w:t>
      </w:r>
    </w:p>
    <w:p w:rsidR="00244A1D" w:rsidRPr="00244A1D" w:rsidRDefault="00244A1D" w:rsidP="00775439">
      <w:pPr>
        <w:numPr>
          <w:ilvl w:val="0"/>
          <w:numId w:val="20"/>
        </w:numPr>
        <w:spacing w:line="360" w:lineRule="auto"/>
      </w:pPr>
      <w:r w:rsidRPr="00244A1D">
        <w:t>Respektowanie kryterium ochrony powietrza w planowaniu przestrzennym.</w:t>
      </w:r>
    </w:p>
    <w:p w:rsidR="00244A1D" w:rsidRPr="00244A1D" w:rsidRDefault="00244A1D" w:rsidP="00775439">
      <w:pPr>
        <w:numPr>
          <w:ilvl w:val="0"/>
          <w:numId w:val="20"/>
        </w:numPr>
        <w:spacing w:line="360" w:lineRule="auto"/>
      </w:pPr>
      <w:r w:rsidRPr="00244A1D">
        <w:t>Prowadzenie szkoleń i edukacji w zakresie ochrony jakości powietrza.</w:t>
      </w:r>
    </w:p>
    <w:p w:rsidR="00244A1D" w:rsidRPr="006A5F6C" w:rsidRDefault="00244A1D" w:rsidP="00244A1D">
      <w:pPr>
        <w:spacing w:line="360" w:lineRule="auto"/>
        <w:rPr>
          <w:u w:val="single"/>
        </w:rPr>
      </w:pPr>
      <w:r w:rsidRPr="006A5F6C">
        <w:rPr>
          <w:u w:val="single"/>
        </w:rPr>
        <w:t>W ramach powyższych kierunków zaproponowano następujące rodzaje działań:</w:t>
      </w:r>
    </w:p>
    <w:p w:rsidR="00244A1D" w:rsidRPr="00244A1D" w:rsidRDefault="00244A1D" w:rsidP="00775439">
      <w:pPr>
        <w:numPr>
          <w:ilvl w:val="0"/>
          <w:numId w:val="21"/>
        </w:numPr>
        <w:spacing w:line="360" w:lineRule="auto"/>
      </w:pPr>
      <w:r w:rsidRPr="00244A1D">
        <w:t>Realizacja założeń programów ochrony powietrza (POP) w zakresie pyłu zawieszonego PM10.</w:t>
      </w:r>
    </w:p>
    <w:p w:rsidR="00244A1D" w:rsidRPr="00244A1D" w:rsidRDefault="00244A1D" w:rsidP="00775439">
      <w:pPr>
        <w:numPr>
          <w:ilvl w:val="0"/>
          <w:numId w:val="21"/>
        </w:numPr>
        <w:spacing w:line="360" w:lineRule="auto"/>
      </w:pPr>
      <w:r w:rsidRPr="00244A1D">
        <w:lastRenderedPageBreak/>
        <w:t xml:space="preserve">Opracowanie i wdrażanie POP dla pozostałych terenów zaliczonych do klasy C z uwagi na przekroczenie poziomu pyłu zawieszonego PM10 oraz dla stref zaliczonych do klasy C z uwagi na przekroczenia poziomów dopuszczalnych pyłu zawieszonego PM2,5, </w:t>
      </w:r>
      <w:proofErr w:type="spellStart"/>
      <w:r w:rsidRPr="00244A1D">
        <w:t>benzo</w:t>
      </w:r>
      <w:proofErr w:type="spellEnd"/>
      <w:r w:rsidRPr="00244A1D">
        <w:t>(a)</w:t>
      </w:r>
      <w:proofErr w:type="spellStart"/>
      <w:r w:rsidRPr="00244A1D">
        <w:t>pirenu</w:t>
      </w:r>
      <w:proofErr w:type="spellEnd"/>
      <w:r w:rsidRPr="00244A1D">
        <w:t xml:space="preserve"> oraz ozonu (kryterium z uwagi na ochronę roślin).</w:t>
      </w:r>
    </w:p>
    <w:p w:rsidR="00244A1D" w:rsidRPr="00244A1D" w:rsidRDefault="00244A1D" w:rsidP="00775439">
      <w:pPr>
        <w:numPr>
          <w:ilvl w:val="0"/>
          <w:numId w:val="21"/>
        </w:numPr>
        <w:spacing w:line="360" w:lineRule="auto"/>
      </w:pPr>
      <w:r w:rsidRPr="00244A1D">
        <w:t>Opracowanie i wdrażanie Programów ograniczenia niskiej emisji (PONE) dla terenów wskazanych w POP.</w:t>
      </w:r>
    </w:p>
    <w:p w:rsidR="00244A1D" w:rsidRPr="00244A1D" w:rsidRDefault="00244A1D" w:rsidP="00775439">
      <w:pPr>
        <w:numPr>
          <w:ilvl w:val="0"/>
          <w:numId w:val="21"/>
        </w:numPr>
        <w:spacing w:line="360" w:lineRule="auto"/>
      </w:pPr>
      <w:r w:rsidRPr="00244A1D">
        <w:t>Modernizacja kotłowni komunalnych oraz dużych obiektów energetycznego spalania paliw celem ograniczenia wielkości emisji zanieczyszczeń: modernizacja kotłów, automatyzacja procesu spalania, zmiana rodzaju paliwa ze stałego na gazowe, olejowe lub alternatywne źródła energii, budowa/modernizacja systemów oczyszczania spalin.</w:t>
      </w:r>
    </w:p>
    <w:p w:rsidR="00244A1D" w:rsidRPr="00244A1D" w:rsidRDefault="00244A1D" w:rsidP="00775439">
      <w:pPr>
        <w:numPr>
          <w:ilvl w:val="0"/>
          <w:numId w:val="21"/>
        </w:numPr>
        <w:spacing w:line="360" w:lineRule="auto"/>
      </w:pPr>
      <w:r w:rsidRPr="00244A1D">
        <w:t xml:space="preserve">Upowszechnianie wysokosprawnej </w:t>
      </w:r>
      <w:proofErr w:type="spellStart"/>
      <w:r w:rsidRPr="00244A1D">
        <w:t>kogeneracji</w:t>
      </w:r>
      <w:proofErr w:type="spellEnd"/>
      <w:r w:rsidRPr="00244A1D">
        <w:t>.</w:t>
      </w:r>
    </w:p>
    <w:p w:rsidR="00244A1D" w:rsidRPr="00244A1D" w:rsidRDefault="00244A1D" w:rsidP="00775439">
      <w:pPr>
        <w:numPr>
          <w:ilvl w:val="0"/>
          <w:numId w:val="21"/>
        </w:numPr>
        <w:spacing w:line="360" w:lineRule="auto"/>
      </w:pPr>
      <w:r w:rsidRPr="00244A1D">
        <w:t>Rozwój odnawialnych źródeł energii.</w:t>
      </w:r>
    </w:p>
    <w:p w:rsidR="00244A1D" w:rsidRPr="00244A1D" w:rsidRDefault="00244A1D" w:rsidP="00775439">
      <w:pPr>
        <w:numPr>
          <w:ilvl w:val="0"/>
          <w:numId w:val="21"/>
        </w:numPr>
        <w:spacing w:line="360" w:lineRule="auto"/>
      </w:pPr>
      <w:r w:rsidRPr="00244A1D">
        <w:t>Rozwój transportu ekologicznego.</w:t>
      </w:r>
    </w:p>
    <w:p w:rsidR="00244A1D" w:rsidRPr="00244A1D" w:rsidRDefault="00244A1D" w:rsidP="00775439">
      <w:pPr>
        <w:numPr>
          <w:ilvl w:val="0"/>
          <w:numId w:val="21"/>
        </w:numPr>
        <w:spacing w:line="360" w:lineRule="auto"/>
      </w:pPr>
      <w:r w:rsidRPr="00244A1D">
        <w:t xml:space="preserve">Zastąpienie </w:t>
      </w:r>
      <w:proofErr w:type="spellStart"/>
      <w:r w:rsidRPr="00244A1D">
        <w:t>niskosprawnych</w:t>
      </w:r>
      <w:proofErr w:type="spellEnd"/>
      <w:r w:rsidRPr="00244A1D">
        <w:t xml:space="preserve"> bloków jednostkami pracującymi w warunkach nadkrytycznych.</w:t>
      </w:r>
    </w:p>
    <w:p w:rsidR="00244A1D" w:rsidRPr="00244A1D" w:rsidRDefault="00244A1D" w:rsidP="00775439">
      <w:pPr>
        <w:numPr>
          <w:ilvl w:val="0"/>
          <w:numId w:val="21"/>
        </w:numPr>
        <w:spacing w:line="360" w:lineRule="auto"/>
      </w:pPr>
      <w:r w:rsidRPr="00244A1D">
        <w:t>Rozwój ciepłownictwa rozproszonego.</w:t>
      </w:r>
    </w:p>
    <w:p w:rsidR="00244A1D" w:rsidRPr="00244A1D" w:rsidRDefault="00244A1D" w:rsidP="00775439">
      <w:pPr>
        <w:numPr>
          <w:ilvl w:val="0"/>
          <w:numId w:val="21"/>
        </w:numPr>
        <w:spacing w:line="360" w:lineRule="auto"/>
      </w:pPr>
      <w:r w:rsidRPr="00244A1D">
        <w:t xml:space="preserve">Dofinansowanie realizacji działań naprawczych z funduszy unijnych i krajowych </w:t>
      </w:r>
      <w:r w:rsidRPr="00244A1D">
        <w:br/>
        <w:t>(w ramach systemu instytucji funduszy ochrony środowiska i gospodarki wodnej).</w:t>
      </w:r>
    </w:p>
    <w:p w:rsidR="00244A1D" w:rsidRPr="00244A1D" w:rsidRDefault="00244A1D" w:rsidP="00775439">
      <w:pPr>
        <w:numPr>
          <w:ilvl w:val="0"/>
          <w:numId w:val="21"/>
        </w:numPr>
        <w:spacing w:line="360" w:lineRule="auto"/>
      </w:pPr>
      <w:r w:rsidRPr="00244A1D">
        <w:t>Rozbudowa i modernizacja sieci ciepłowniczych, podłączanie nowych użytkowników do sieci cieplnych.</w:t>
      </w:r>
    </w:p>
    <w:p w:rsidR="00244A1D" w:rsidRPr="00244A1D" w:rsidRDefault="00244A1D" w:rsidP="00775439">
      <w:pPr>
        <w:numPr>
          <w:ilvl w:val="0"/>
          <w:numId w:val="21"/>
        </w:numPr>
        <w:spacing w:line="360" w:lineRule="auto"/>
      </w:pPr>
      <w:r w:rsidRPr="00244A1D">
        <w:t>Prowadzenie termomodernizacji obiektów użyteczności publicznej, wspieranie termomodernizacji obiektów mieszkalnych wielorodzinnych i jednorodzinnych (powinno się zapewnić ochronę ewentualnych miejsc gniazdowania chronionych gatunków ptaków).</w:t>
      </w:r>
    </w:p>
    <w:p w:rsidR="00244A1D" w:rsidRPr="00244A1D" w:rsidRDefault="00244A1D" w:rsidP="00775439">
      <w:pPr>
        <w:numPr>
          <w:ilvl w:val="0"/>
          <w:numId w:val="21"/>
        </w:numPr>
        <w:spacing w:line="360" w:lineRule="auto"/>
      </w:pPr>
      <w:r w:rsidRPr="00244A1D">
        <w:t>Rozbudowa sieci gazowej.</w:t>
      </w:r>
    </w:p>
    <w:p w:rsidR="00244A1D" w:rsidRPr="00244A1D" w:rsidRDefault="00244A1D" w:rsidP="00775439">
      <w:pPr>
        <w:numPr>
          <w:ilvl w:val="0"/>
          <w:numId w:val="21"/>
        </w:numPr>
        <w:spacing w:line="360" w:lineRule="auto"/>
      </w:pPr>
      <w:r w:rsidRPr="00244A1D">
        <w:t>Promowanie wymiany indywidualnych źródeł ciepła zasilanych paliwem stałym na kotły gazowe, olejowe.</w:t>
      </w:r>
    </w:p>
    <w:p w:rsidR="00244A1D" w:rsidRPr="00244A1D" w:rsidRDefault="00244A1D" w:rsidP="00775439">
      <w:pPr>
        <w:numPr>
          <w:ilvl w:val="0"/>
          <w:numId w:val="21"/>
        </w:numPr>
        <w:spacing w:line="360" w:lineRule="auto"/>
      </w:pPr>
      <w:r w:rsidRPr="00244A1D">
        <w:t>Wprowadzanie przez przedsiębiorców nowoczesnych i przyjaznych środowisku technologii, hermetyzacja układów technologicznych, modernizacja instalacji celem spełnienia wymagań BAT oraz standardów emisyjnych.</w:t>
      </w:r>
    </w:p>
    <w:p w:rsidR="00244A1D" w:rsidRPr="00244A1D" w:rsidRDefault="00244A1D" w:rsidP="00775439">
      <w:pPr>
        <w:numPr>
          <w:ilvl w:val="0"/>
          <w:numId w:val="21"/>
        </w:numPr>
        <w:spacing w:line="360" w:lineRule="auto"/>
      </w:pPr>
      <w:r w:rsidRPr="00244A1D">
        <w:lastRenderedPageBreak/>
        <w:t xml:space="preserve">Egzekwowanie od zakładów przemysłowych spełniania prawnych wymagań </w:t>
      </w:r>
      <w:r w:rsidRPr="00244A1D">
        <w:br/>
        <w:t>w zakresie wielkości emisji zanieczyszczeń do powietrza.</w:t>
      </w:r>
    </w:p>
    <w:p w:rsidR="00244A1D" w:rsidRPr="00244A1D" w:rsidRDefault="00244A1D" w:rsidP="00775439">
      <w:pPr>
        <w:numPr>
          <w:ilvl w:val="0"/>
          <w:numId w:val="21"/>
        </w:numPr>
        <w:spacing w:line="360" w:lineRule="auto"/>
      </w:pPr>
      <w:r w:rsidRPr="00244A1D">
        <w:t>Budowa nowych dróg, szczególnie obwodnic wyprowadzających ruch poza centralne części miast.</w:t>
      </w:r>
    </w:p>
    <w:p w:rsidR="00244A1D" w:rsidRPr="00244A1D" w:rsidRDefault="00244A1D" w:rsidP="00775439">
      <w:pPr>
        <w:numPr>
          <w:ilvl w:val="0"/>
          <w:numId w:val="21"/>
        </w:numPr>
        <w:spacing w:line="360" w:lineRule="auto"/>
      </w:pPr>
      <w:r w:rsidRPr="00244A1D">
        <w:t>Prowadzenie remontów, przebudowy i modernizacji dróg celem poprawy warunków jazdy.</w:t>
      </w:r>
    </w:p>
    <w:p w:rsidR="00244A1D" w:rsidRPr="00244A1D" w:rsidRDefault="00244A1D" w:rsidP="00775439">
      <w:pPr>
        <w:numPr>
          <w:ilvl w:val="0"/>
          <w:numId w:val="21"/>
        </w:numPr>
        <w:spacing w:line="360" w:lineRule="auto"/>
      </w:pPr>
      <w:r w:rsidRPr="00244A1D">
        <w:t>Bieżące utrzymywanie ulic w czystości poprzez zamiatanie oraz sprzątanie na mokro w okresach bezdeszczowych.</w:t>
      </w:r>
    </w:p>
    <w:p w:rsidR="00244A1D" w:rsidRPr="00244A1D" w:rsidRDefault="00244A1D" w:rsidP="00775439">
      <w:pPr>
        <w:numPr>
          <w:ilvl w:val="0"/>
          <w:numId w:val="21"/>
        </w:numPr>
        <w:spacing w:line="360" w:lineRule="auto"/>
      </w:pPr>
      <w:r w:rsidRPr="00244A1D">
        <w:t>Budowa ścieżek rowerowych.</w:t>
      </w:r>
    </w:p>
    <w:p w:rsidR="00244A1D" w:rsidRPr="00244A1D" w:rsidRDefault="00244A1D" w:rsidP="00775439">
      <w:pPr>
        <w:numPr>
          <w:ilvl w:val="0"/>
          <w:numId w:val="21"/>
        </w:numPr>
        <w:spacing w:line="360" w:lineRule="auto"/>
      </w:pPr>
      <w:r w:rsidRPr="00244A1D">
        <w:t>Rozwój transportu zbiorowego w uzależnieniu od rzeczywistych potrzeb, rozwój transportu niskoemisyjnego (transport kolejowy, transport tramwajowy) oraz transportu kołowego z wykorzystaniem autobusów niskoemisyjnych.</w:t>
      </w:r>
    </w:p>
    <w:p w:rsidR="00244A1D" w:rsidRPr="00244A1D" w:rsidRDefault="00244A1D" w:rsidP="00775439">
      <w:pPr>
        <w:numPr>
          <w:ilvl w:val="0"/>
          <w:numId w:val="21"/>
        </w:numPr>
        <w:spacing w:line="360" w:lineRule="auto"/>
      </w:pPr>
      <w:r w:rsidRPr="00244A1D">
        <w:t>Uwzględnianie w planach zagospodarowania przestrzennego wymogów dotyczących zaopatrywania mieszkań w ciepło z nośników nie powodujących nadmiernej „niskiej emisji” oraz projektowanie linii zabudowy uwzględniając zapewnienie „przewietrzania” miasta ze szczególnym uwzględnieniem terenów o „gęstej zabudowie”.</w:t>
      </w:r>
    </w:p>
    <w:p w:rsidR="00244A1D" w:rsidRPr="00244A1D" w:rsidRDefault="00244A1D" w:rsidP="00775439">
      <w:pPr>
        <w:numPr>
          <w:ilvl w:val="0"/>
          <w:numId w:val="21"/>
        </w:numPr>
        <w:spacing w:line="360" w:lineRule="auto"/>
      </w:pPr>
      <w:r w:rsidRPr="00244A1D">
        <w:t>Prowadzenie edukacji ekologicznej w zakresie wpływu spalania paliw złej jakości oraz odpadów w paleniskach domowych na stan czystości powietrza, możliwości oszczędzania energii oraz wykorzystania odnawialnych źródeł energii, promocji korzystania z transportu zbiorowego oraz transportu rowerowego.</w:t>
      </w:r>
    </w:p>
    <w:p w:rsidR="00244A1D" w:rsidRPr="00244A1D" w:rsidRDefault="00244A1D" w:rsidP="00244A1D">
      <w:pPr>
        <w:spacing w:line="360" w:lineRule="auto"/>
        <w:rPr>
          <w:b/>
          <w:i/>
        </w:rPr>
      </w:pPr>
      <w:r w:rsidRPr="00244A1D">
        <w:rPr>
          <w:b/>
          <w:i/>
        </w:rPr>
        <w:t>Poprawa jakości środowiska i bezpieczeństwa ekologicznego. Odnawialne źródła energii.</w:t>
      </w:r>
    </w:p>
    <w:p w:rsidR="00244A1D" w:rsidRPr="00244A1D" w:rsidRDefault="00244A1D" w:rsidP="00244A1D">
      <w:pPr>
        <w:spacing w:line="360" w:lineRule="auto"/>
      </w:pPr>
      <w:r w:rsidRPr="00244A1D">
        <w:t>W dokumencie jako cel średniookresowy do 2019r. z zakresu odnawialnych źródeł energii ustalono zwiększenie wykorzystania odnawialnych źródeł energii na terenie województwa. Aby osiągnąć powyższy cel ustalono następujące kierunki działań na lata 2011-2015:</w:t>
      </w:r>
    </w:p>
    <w:p w:rsidR="00244A1D" w:rsidRPr="00244A1D" w:rsidRDefault="00244A1D" w:rsidP="00775439">
      <w:pPr>
        <w:numPr>
          <w:ilvl w:val="0"/>
          <w:numId w:val="22"/>
        </w:numPr>
        <w:spacing w:line="360" w:lineRule="auto"/>
      </w:pPr>
      <w:r w:rsidRPr="00244A1D">
        <w:t>Intensyfikacja wykorzystania mechanizmów finansowych wsparcia rozwoju odnawialnych źródeł energii.</w:t>
      </w:r>
    </w:p>
    <w:p w:rsidR="00244A1D" w:rsidRPr="00244A1D" w:rsidRDefault="00244A1D" w:rsidP="00775439">
      <w:pPr>
        <w:numPr>
          <w:ilvl w:val="0"/>
          <w:numId w:val="22"/>
        </w:numPr>
        <w:spacing w:line="360" w:lineRule="auto"/>
      </w:pPr>
      <w:r w:rsidRPr="00244A1D">
        <w:t>Zwiększenie wykorzystania biomasy pochodzącej z rolniczych źródeł do produkcji energii elektrycznej i ciepła.</w:t>
      </w:r>
    </w:p>
    <w:p w:rsidR="00244A1D" w:rsidRPr="00244A1D" w:rsidRDefault="00244A1D" w:rsidP="00775439">
      <w:pPr>
        <w:numPr>
          <w:ilvl w:val="0"/>
          <w:numId w:val="22"/>
        </w:numPr>
        <w:spacing w:line="360" w:lineRule="auto"/>
      </w:pPr>
      <w:r w:rsidRPr="00244A1D">
        <w:t>Rozwój OZE pochodzących z naturalnych źródeł (woda, słońce, wiatr).</w:t>
      </w:r>
    </w:p>
    <w:p w:rsidR="00244A1D" w:rsidRPr="00244A1D" w:rsidRDefault="00244A1D" w:rsidP="00775439">
      <w:pPr>
        <w:numPr>
          <w:ilvl w:val="0"/>
          <w:numId w:val="22"/>
        </w:numPr>
        <w:spacing w:line="360" w:lineRule="auto"/>
      </w:pPr>
      <w:r w:rsidRPr="00244A1D">
        <w:lastRenderedPageBreak/>
        <w:t xml:space="preserve">Propagowanie oraz wspieranie i aktywizacja samorządów lokalnych w kierunku wykorzystania lokalnych zasobów OZE poprzez działalność Świętokrzyskiego Centrum Innowacji i Transferu Technologii sp. z o.o. oraz Świętokrzysko-Podkarpackiego </w:t>
      </w:r>
      <w:proofErr w:type="spellStart"/>
      <w:r w:rsidRPr="00244A1D">
        <w:t>Klastra</w:t>
      </w:r>
      <w:proofErr w:type="spellEnd"/>
      <w:r w:rsidRPr="00244A1D">
        <w:t xml:space="preserve"> Energetycznego. </w:t>
      </w:r>
    </w:p>
    <w:p w:rsidR="00244A1D" w:rsidRPr="006A5F6C" w:rsidRDefault="00244A1D" w:rsidP="00244A1D">
      <w:pPr>
        <w:spacing w:line="360" w:lineRule="auto"/>
        <w:rPr>
          <w:u w:val="single"/>
        </w:rPr>
      </w:pPr>
      <w:r w:rsidRPr="006A5F6C">
        <w:rPr>
          <w:u w:val="single"/>
        </w:rPr>
        <w:t>W ramach powyższych kierunków zaproponowano następujące rodzaje działań:</w:t>
      </w:r>
    </w:p>
    <w:p w:rsidR="00244A1D" w:rsidRPr="00244A1D" w:rsidRDefault="00244A1D" w:rsidP="00775439">
      <w:pPr>
        <w:numPr>
          <w:ilvl w:val="0"/>
          <w:numId w:val="23"/>
        </w:numPr>
        <w:spacing w:line="360" w:lineRule="auto"/>
      </w:pPr>
      <w:r w:rsidRPr="00244A1D">
        <w:t>Budowa instalacji OZE.</w:t>
      </w:r>
    </w:p>
    <w:p w:rsidR="00244A1D" w:rsidRPr="00244A1D" w:rsidRDefault="00244A1D" w:rsidP="00775439">
      <w:pPr>
        <w:numPr>
          <w:ilvl w:val="0"/>
          <w:numId w:val="23"/>
        </w:numPr>
        <w:spacing w:line="360" w:lineRule="auto"/>
      </w:pPr>
      <w:r w:rsidRPr="00244A1D">
        <w:t xml:space="preserve">Inwentaryzacja źródeł OZE, prowadzenie i aktualizacja bazy danych OZE w </w:t>
      </w:r>
      <w:proofErr w:type="spellStart"/>
      <w:r w:rsidRPr="00244A1D">
        <w:t>ŚCIiTT</w:t>
      </w:r>
      <w:proofErr w:type="spellEnd"/>
      <w:r w:rsidRPr="00244A1D">
        <w:t>.</w:t>
      </w:r>
    </w:p>
    <w:p w:rsidR="00244A1D" w:rsidRPr="00244A1D" w:rsidRDefault="00244A1D" w:rsidP="00775439">
      <w:pPr>
        <w:numPr>
          <w:ilvl w:val="0"/>
          <w:numId w:val="23"/>
        </w:numPr>
        <w:spacing w:line="360" w:lineRule="auto"/>
      </w:pPr>
      <w:r w:rsidRPr="00244A1D">
        <w:t>Przygotowanie strategii rozwoju OZE.</w:t>
      </w:r>
    </w:p>
    <w:p w:rsidR="00244A1D" w:rsidRPr="00244A1D" w:rsidRDefault="00244A1D" w:rsidP="00775439">
      <w:pPr>
        <w:numPr>
          <w:ilvl w:val="0"/>
          <w:numId w:val="23"/>
        </w:numPr>
        <w:spacing w:line="360" w:lineRule="auto"/>
      </w:pPr>
      <w:r w:rsidRPr="00244A1D">
        <w:t>Prowadzenie akcji informacyjnej nt. korzyści stosowania OZE.</w:t>
      </w:r>
    </w:p>
    <w:p w:rsidR="00244A1D" w:rsidRPr="00244A1D" w:rsidRDefault="00244A1D" w:rsidP="00244A1D">
      <w:pPr>
        <w:spacing w:line="360" w:lineRule="auto"/>
        <w:rPr>
          <w:b/>
        </w:rPr>
      </w:pPr>
      <w:r w:rsidRPr="00244A1D">
        <w:rPr>
          <w:b/>
        </w:rPr>
        <w:t>Program ochrony środowiska dla powiatu kieleckiego</w:t>
      </w:r>
    </w:p>
    <w:p w:rsidR="00244A1D" w:rsidRPr="00244A1D" w:rsidRDefault="00244A1D" w:rsidP="00244A1D">
      <w:pPr>
        <w:spacing w:line="360" w:lineRule="auto"/>
      </w:pPr>
      <w:r w:rsidRPr="00244A1D">
        <w:t xml:space="preserve">W uchwalonej w październiku 2011 r. aktualizacji na lata 2012-2015 w perspektywie do roku 2019 Programu ochrony środowiska dla powiatu kieleckiego szczególną uwagę poświęcono analizie stanu jakości powietrza oraz użycia odnawialnych źródeł energii na terenie powiatu kieleckiego. </w:t>
      </w:r>
    </w:p>
    <w:p w:rsidR="00244A1D" w:rsidRPr="00244A1D" w:rsidRDefault="00244A1D" w:rsidP="00244A1D">
      <w:pPr>
        <w:spacing w:line="360" w:lineRule="auto"/>
        <w:rPr>
          <w:b/>
          <w:i/>
        </w:rPr>
      </w:pPr>
      <w:r w:rsidRPr="00244A1D">
        <w:rPr>
          <w:b/>
          <w:i/>
        </w:rPr>
        <w:t>Ocena jakości powietrza</w:t>
      </w:r>
    </w:p>
    <w:p w:rsidR="00244A1D" w:rsidRPr="00244A1D" w:rsidRDefault="00244A1D" w:rsidP="00244A1D">
      <w:pPr>
        <w:spacing w:line="360" w:lineRule="auto"/>
      </w:pPr>
      <w:r w:rsidRPr="00244A1D">
        <w:t>Zgodnie z analizowanym dokumentem głównym źródłem zanieczyszczeń do powietrza na terenie powiatu kieleckiego jest emisja obejmująca:</w:t>
      </w:r>
    </w:p>
    <w:p w:rsidR="00244A1D" w:rsidRPr="00244A1D" w:rsidRDefault="00244A1D" w:rsidP="00775439">
      <w:pPr>
        <w:numPr>
          <w:ilvl w:val="0"/>
          <w:numId w:val="17"/>
        </w:numPr>
        <w:spacing w:line="360" w:lineRule="auto"/>
      </w:pPr>
      <w:r w:rsidRPr="00244A1D">
        <w:t>emisję niską (kotłownie, indywidualne paleniska domowe i prywatne zakłady),</w:t>
      </w:r>
    </w:p>
    <w:p w:rsidR="00244A1D" w:rsidRPr="00244A1D" w:rsidRDefault="00244A1D" w:rsidP="00775439">
      <w:pPr>
        <w:numPr>
          <w:ilvl w:val="0"/>
          <w:numId w:val="17"/>
        </w:numPr>
        <w:spacing w:line="360" w:lineRule="auto"/>
      </w:pPr>
      <w:r w:rsidRPr="00244A1D">
        <w:t>emisję z zakładów przemysłowych,</w:t>
      </w:r>
    </w:p>
    <w:p w:rsidR="00244A1D" w:rsidRPr="00244A1D" w:rsidRDefault="00244A1D" w:rsidP="00775439">
      <w:pPr>
        <w:numPr>
          <w:ilvl w:val="0"/>
          <w:numId w:val="17"/>
        </w:numPr>
        <w:spacing w:line="360" w:lineRule="auto"/>
      </w:pPr>
      <w:r w:rsidRPr="00244A1D">
        <w:t>emisję komunikacyjną</w:t>
      </w:r>
    </w:p>
    <w:p w:rsidR="00244A1D" w:rsidRPr="00244A1D" w:rsidRDefault="00244A1D" w:rsidP="00244A1D">
      <w:pPr>
        <w:spacing w:line="360" w:lineRule="auto"/>
      </w:pPr>
      <w:r w:rsidRPr="00244A1D">
        <w:t>W celu ograniczenia szkodliwego wpływu powyższych emisji, Program zakłada konieczność podjęcia długoterminowych działań naprawczych zmierzających do poprawy jakości powietrza na terenie województwa świętokrzyskiego. Podstawowym celem polityki ekologicznej w zakresie ochrony powietrza w perspektywie średniookresowej do 2019 roku wykazanej w Programie ochrony środowiska dla powiatu kieleckiego jest osiągnięcie takiego jego stanu, który nie będzie zagrażał zdrowiu ludzi i środowisku oraz będzie spełniał wymagania prawne w zakresie jakości powietrza i norm emisyjnych.</w:t>
      </w:r>
    </w:p>
    <w:p w:rsidR="00244A1D" w:rsidRPr="00244A1D" w:rsidRDefault="00244A1D" w:rsidP="00244A1D">
      <w:pPr>
        <w:spacing w:line="360" w:lineRule="auto"/>
      </w:pPr>
      <w:r w:rsidRPr="00244A1D">
        <w:t xml:space="preserve">Za kluczowy element poprawy jakości powietrza uznano ograniczanie niskiej emisji i emisji komunikacyjnej, która jest istotnym czynnikiem przyczyniającym się do występowania przekroczeń poziomów dopuszczalnych zanieczyszczeń. Ponadto za przekraczanie dopuszczalnych norm jakości powietrza odpowiedzialne są także zakłady przemysłowe. </w:t>
      </w:r>
      <w:r w:rsidRPr="00244A1D">
        <w:lastRenderedPageBreak/>
        <w:t>Zmniejszeniu wielkości emisji służyć będzie także wsparcie dla rozwoju odnawialnych źródeł energii, jak i zwiększanie efektywności jej wykorzystania oraz zmniejszanie materiałochłonności gospodarki. Istotne będzie wprowadzanie środków transportu, które są mniej emisyjne (transport publiczny, kolej), jak i działań edukacyjnych.</w:t>
      </w:r>
    </w:p>
    <w:p w:rsidR="00244A1D" w:rsidRPr="006A5F6C" w:rsidRDefault="00244A1D" w:rsidP="00244A1D">
      <w:pPr>
        <w:spacing w:line="360" w:lineRule="auto"/>
        <w:rPr>
          <w:u w:val="single"/>
        </w:rPr>
      </w:pPr>
      <w:r w:rsidRPr="006A5F6C">
        <w:rPr>
          <w:u w:val="single"/>
        </w:rPr>
        <w:t>Aby zrealizować postawione cele ustalono następujące kierunki działań na lata 2012-2015:</w:t>
      </w:r>
    </w:p>
    <w:p w:rsidR="00244A1D" w:rsidRPr="00244A1D" w:rsidRDefault="00244A1D" w:rsidP="00775439">
      <w:pPr>
        <w:numPr>
          <w:ilvl w:val="0"/>
          <w:numId w:val="18"/>
        </w:numPr>
        <w:spacing w:line="360" w:lineRule="auto"/>
      </w:pPr>
      <w:r w:rsidRPr="00244A1D">
        <w:t>Wspieranie inwestycji mających na celu instalowanie nowych i modernizację istniejących urządzeń służących redukcji zanieczyszczeń powietrza w budynkach użyteczności publicznej.</w:t>
      </w:r>
    </w:p>
    <w:p w:rsidR="00244A1D" w:rsidRPr="00244A1D" w:rsidRDefault="00244A1D" w:rsidP="00775439">
      <w:pPr>
        <w:numPr>
          <w:ilvl w:val="0"/>
          <w:numId w:val="18"/>
        </w:numPr>
        <w:spacing w:line="360" w:lineRule="auto"/>
      </w:pPr>
      <w:r w:rsidRPr="00244A1D">
        <w:t>Zwiększenie świadomości społeczeństwa w zakresie potrzeb i możliwości ochrony powietrza, w tym oszczędności energii i modernizacji ogrzewania.</w:t>
      </w:r>
    </w:p>
    <w:p w:rsidR="00244A1D" w:rsidRPr="00244A1D" w:rsidRDefault="00244A1D" w:rsidP="00775439">
      <w:pPr>
        <w:numPr>
          <w:ilvl w:val="0"/>
          <w:numId w:val="18"/>
        </w:numPr>
        <w:spacing w:line="360" w:lineRule="auto"/>
      </w:pPr>
      <w:r w:rsidRPr="00244A1D">
        <w:t>Termomodernizacja budynków w obiektach podlegających Starostwu.</w:t>
      </w:r>
    </w:p>
    <w:p w:rsidR="00244A1D" w:rsidRPr="00244A1D" w:rsidRDefault="00244A1D" w:rsidP="00775439">
      <w:pPr>
        <w:numPr>
          <w:ilvl w:val="0"/>
          <w:numId w:val="18"/>
        </w:numPr>
        <w:spacing w:line="360" w:lineRule="auto"/>
      </w:pPr>
      <w:r w:rsidRPr="00244A1D">
        <w:t>Wspomaganie zadań państwowego monitoringu w formie dotacji.</w:t>
      </w:r>
    </w:p>
    <w:p w:rsidR="00244A1D" w:rsidRPr="00244A1D" w:rsidRDefault="00244A1D" w:rsidP="00244A1D">
      <w:pPr>
        <w:spacing w:line="360" w:lineRule="auto"/>
        <w:rPr>
          <w:b/>
          <w:i/>
        </w:rPr>
      </w:pPr>
      <w:r w:rsidRPr="00244A1D">
        <w:rPr>
          <w:b/>
          <w:i/>
        </w:rPr>
        <w:t>Odnawialne źródła energii</w:t>
      </w:r>
    </w:p>
    <w:p w:rsidR="00244A1D" w:rsidRPr="00244A1D" w:rsidRDefault="00244A1D" w:rsidP="00244A1D">
      <w:pPr>
        <w:spacing w:line="360" w:lineRule="auto"/>
      </w:pPr>
      <w:r w:rsidRPr="00244A1D">
        <w:t xml:space="preserve">Zgodnie z Programem ochrony środowiska dla powiatu kieleckiego ważnym elementem polityki ekologicznej państwa jest wspieranie rozwoju odnawialnych źródeł energii oraz uzyskanie (w skali kraju) 10 % w 2014 r., a 15 % w 2020 r. udziału energii, pochodzącej </w:t>
      </w:r>
      <w:r w:rsidRPr="00244A1D">
        <w:br/>
        <w:t>z tych źródeł, w bilansie energii pierwotnej. Pomimo średnio korzystnych warunków jakie panują w powiecie kieleckim, uznano, że istotne jest podjęcie działań mających na celu dalszy rozwój energetyki odnawialnej. W związku z tym za cel średniookresowy do 2019 roku uznano zwiększenie wykorzystania odnawialnych źródeł energii na terenie powiatu.</w:t>
      </w:r>
    </w:p>
    <w:p w:rsidR="00244A1D" w:rsidRPr="00244A1D" w:rsidRDefault="00244A1D" w:rsidP="00244A1D">
      <w:pPr>
        <w:spacing w:line="360" w:lineRule="auto"/>
      </w:pPr>
      <w:r w:rsidRPr="00244A1D">
        <w:t>Jako główny kierunek rozwoju odnawialnych źródeł energii wskazano technologie wykorzystujące biomasę, w większości pochodzącej z upraw energetycznych. Uznano również, iż należy zwiększyć ilość pozyskiwanej energii z farm wiatrowych oraz biogazowi.</w:t>
      </w:r>
    </w:p>
    <w:p w:rsidR="006A5F6C" w:rsidRDefault="006A5F6C" w:rsidP="00244A1D">
      <w:pPr>
        <w:spacing w:line="360" w:lineRule="auto"/>
      </w:pPr>
    </w:p>
    <w:p w:rsidR="006A5F6C" w:rsidRDefault="006A5F6C" w:rsidP="00244A1D">
      <w:pPr>
        <w:spacing w:line="360" w:lineRule="auto"/>
      </w:pPr>
    </w:p>
    <w:p w:rsidR="00244A1D" w:rsidRPr="00244A1D" w:rsidRDefault="00244A1D" w:rsidP="00244A1D">
      <w:pPr>
        <w:spacing w:line="360" w:lineRule="auto"/>
      </w:pPr>
      <w:r w:rsidRPr="006A5F6C">
        <w:rPr>
          <w:u w:val="single"/>
        </w:rPr>
        <w:t>Aby zrealizować postawione cele wskazano następujące kierunki działań na lata 2012-2015</w:t>
      </w:r>
      <w:r w:rsidRPr="00244A1D">
        <w:t>:</w:t>
      </w:r>
    </w:p>
    <w:p w:rsidR="00244A1D" w:rsidRPr="00244A1D" w:rsidRDefault="00244A1D" w:rsidP="00775439">
      <w:pPr>
        <w:numPr>
          <w:ilvl w:val="0"/>
          <w:numId w:val="19"/>
        </w:numPr>
        <w:spacing w:line="360" w:lineRule="auto"/>
      </w:pPr>
      <w:r w:rsidRPr="00244A1D">
        <w:t xml:space="preserve">Wspieranie rozwoju odnawialnych źródeł energii (biomasa, biogaz, energia słoneczna) oraz technologii zwiększających efektywne wykorzystanie energii </w:t>
      </w:r>
      <w:r w:rsidRPr="00244A1D">
        <w:br/>
        <w:t>i zmniejszających materiałochłonność gospodarki.</w:t>
      </w:r>
    </w:p>
    <w:p w:rsidR="00244A1D" w:rsidRPr="00244A1D" w:rsidRDefault="00244A1D" w:rsidP="00775439">
      <w:pPr>
        <w:numPr>
          <w:ilvl w:val="0"/>
          <w:numId w:val="19"/>
        </w:numPr>
        <w:spacing w:line="360" w:lineRule="auto"/>
      </w:pPr>
      <w:r w:rsidRPr="00244A1D">
        <w:t>Zwiększanie świadomości społeczeństwa w zakresie stosowania odnawialnych źródeł energii.</w:t>
      </w:r>
    </w:p>
    <w:p w:rsidR="00244A1D" w:rsidRPr="00244A1D" w:rsidRDefault="00244A1D" w:rsidP="00775439">
      <w:pPr>
        <w:numPr>
          <w:ilvl w:val="0"/>
          <w:numId w:val="19"/>
        </w:numPr>
        <w:spacing w:line="360" w:lineRule="auto"/>
      </w:pPr>
      <w:r w:rsidRPr="00244A1D">
        <w:lastRenderedPageBreak/>
        <w:t>Zwiększenie wykorzystywania biomasy pochodzącej z rolniczych źródeł do produkcji energii elektrycznej i ciepła.</w:t>
      </w:r>
    </w:p>
    <w:p w:rsidR="00244A1D" w:rsidRPr="00244A1D" w:rsidRDefault="00244A1D" w:rsidP="00775439">
      <w:pPr>
        <w:numPr>
          <w:ilvl w:val="0"/>
          <w:numId w:val="19"/>
        </w:numPr>
        <w:spacing w:line="360" w:lineRule="auto"/>
      </w:pPr>
      <w:r w:rsidRPr="00244A1D">
        <w:t xml:space="preserve">Wykorzystanie działalności lokalnych organizacji wspierających rozwój OZE takich jak: Świętokrzyskie Centrum Innowacji i Transferu Technologii Sp. z o. o. oraz Świętokrzysko-Podkarpackiego </w:t>
      </w:r>
      <w:proofErr w:type="spellStart"/>
      <w:r w:rsidRPr="00244A1D">
        <w:t>Klastra</w:t>
      </w:r>
      <w:proofErr w:type="spellEnd"/>
      <w:r w:rsidRPr="00244A1D">
        <w:t xml:space="preserve"> Energetycznego.</w:t>
      </w:r>
    </w:p>
    <w:p w:rsidR="00244A1D" w:rsidRPr="00163FBA" w:rsidRDefault="00A60A57" w:rsidP="00163FBA">
      <w:pPr>
        <w:pStyle w:val="Nagwek2"/>
      </w:pPr>
      <w:bookmarkStart w:id="70" w:name="_Toc427675561"/>
      <w:bookmarkStart w:id="71" w:name="_Toc427734961"/>
      <w:r w:rsidRPr="00163FBA">
        <w:t>Wymiar lokalny</w:t>
      </w:r>
      <w:bookmarkEnd w:id="70"/>
      <w:bookmarkEnd w:id="71"/>
    </w:p>
    <w:p w:rsidR="00A60A57" w:rsidRPr="00A60A57" w:rsidRDefault="00A60A57" w:rsidP="00A60A57">
      <w:pPr>
        <w:spacing w:line="360" w:lineRule="auto"/>
      </w:pPr>
      <w:r w:rsidRPr="00A60A57">
        <w:t>Niniejszy dokument jest spójny z dokumentami strategicznymi obowiązującymi na terenie gminy Strawczyn:</w:t>
      </w:r>
    </w:p>
    <w:p w:rsidR="00A60A57" w:rsidRPr="00A60A57" w:rsidRDefault="00A60A57" w:rsidP="00775439">
      <w:pPr>
        <w:numPr>
          <w:ilvl w:val="0"/>
          <w:numId w:val="24"/>
        </w:numPr>
        <w:spacing w:line="360" w:lineRule="auto"/>
      </w:pPr>
      <w:r w:rsidRPr="00A60A57">
        <w:t>Strategia Rozwoju Gminy Strawczyn.</w:t>
      </w:r>
    </w:p>
    <w:p w:rsidR="00A60A57" w:rsidRPr="00A60A57" w:rsidRDefault="00A60A57" w:rsidP="00775439">
      <w:pPr>
        <w:numPr>
          <w:ilvl w:val="0"/>
          <w:numId w:val="24"/>
        </w:numPr>
        <w:spacing w:line="360" w:lineRule="auto"/>
      </w:pPr>
      <w:r w:rsidRPr="00A60A57">
        <w:t>Projekt założeń do planu zaopatrzenia w ciepło, energię elektryczną i paliwa gazowe Gminy Strawczyn.</w:t>
      </w:r>
    </w:p>
    <w:p w:rsidR="00A60A57" w:rsidRPr="00A60A57" w:rsidRDefault="00A60A57" w:rsidP="00775439">
      <w:pPr>
        <w:numPr>
          <w:ilvl w:val="0"/>
          <w:numId w:val="24"/>
        </w:numPr>
        <w:spacing w:line="360" w:lineRule="auto"/>
      </w:pPr>
      <w:r w:rsidRPr="00A60A57">
        <w:t>Program Ochrony Środowiska dla Gminy Strawczyn na lata 2009 – 2016.</w:t>
      </w:r>
    </w:p>
    <w:p w:rsidR="00A60A57" w:rsidRPr="00A60A57" w:rsidRDefault="00A60A57" w:rsidP="00A60A57">
      <w:pPr>
        <w:spacing w:line="360" w:lineRule="auto"/>
        <w:rPr>
          <w:b/>
        </w:rPr>
      </w:pPr>
      <w:r w:rsidRPr="00A60A57">
        <w:rPr>
          <w:b/>
        </w:rPr>
        <w:t>Strategia rozwoju Gminy Strawczyn</w:t>
      </w:r>
    </w:p>
    <w:p w:rsidR="00A60A57" w:rsidRPr="00A60A57" w:rsidRDefault="00A60A57" w:rsidP="00A60A57">
      <w:pPr>
        <w:spacing w:line="360" w:lineRule="auto"/>
      </w:pPr>
      <w:r w:rsidRPr="00A60A57">
        <w:t xml:space="preserve">W kluczowym dokumencie opracowanym przez Gminę Strawczyn, jakim jest "Strategia rozwoju Gminy Strawczyn" poddano głębokiej analizie charakterystykę gminy oraz uwarunkowania jej rozwoju tworząc w konsekwencji cele dla wieloletniej strategii rozwoju. Jako jeden ze strategicznych celów jaki gmina przed sobą postawiła jest dbałość </w:t>
      </w:r>
      <w:r w:rsidRPr="00A60A57">
        <w:br/>
        <w:t>o stan środowiska naturalnego. Dla jego realizacji wyznaczono następujące cele operacyjne:</w:t>
      </w:r>
    </w:p>
    <w:p w:rsidR="00A60A57" w:rsidRPr="00A60A57" w:rsidRDefault="00A60A57" w:rsidP="00775439">
      <w:pPr>
        <w:numPr>
          <w:ilvl w:val="0"/>
          <w:numId w:val="25"/>
        </w:numPr>
        <w:spacing w:line="360" w:lineRule="auto"/>
      </w:pPr>
      <w:r w:rsidRPr="00A60A57">
        <w:t xml:space="preserve">Działania na rzecz ochrony wód powierzchniowych poprzez prowadzenie bieżącego monitoringu w zakresie czystości. Realizacja własnych zadań inwestycyjnych </w:t>
      </w:r>
      <w:r w:rsidRPr="00A60A57">
        <w:br/>
        <w:t>w zakresie ochrony wód rzek Bobrzy, Olszówki i Łososiny, a także monitorowanie innych cieków wodnych. Prowadzenie działań mających na celu zmniejszenie zanieczyszczania rzek poprzez inwestycje wodno-kanalizacyjne.</w:t>
      </w:r>
    </w:p>
    <w:p w:rsidR="00A60A57" w:rsidRPr="00A60A57" w:rsidRDefault="00A60A57" w:rsidP="00775439">
      <w:pPr>
        <w:numPr>
          <w:ilvl w:val="0"/>
          <w:numId w:val="25"/>
        </w:numPr>
        <w:spacing w:line="360" w:lineRule="auto"/>
      </w:pPr>
      <w:r w:rsidRPr="00A60A57">
        <w:t>Zahamowanie degradacji gleb poprzez wdrażanie integrowanej, a nawet ekologicznej uprawy roślin, prowadzenie prawidłowej gospodarki odpadami, pełne egzekwowanie przepisów prawa w zakresie eksploatacji zasobów naturalnych.</w:t>
      </w:r>
    </w:p>
    <w:p w:rsidR="00A60A57" w:rsidRPr="00A60A57" w:rsidRDefault="00A60A57" w:rsidP="00775439">
      <w:pPr>
        <w:numPr>
          <w:ilvl w:val="0"/>
          <w:numId w:val="25"/>
        </w:numPr>
        <w:spacing w:line="360" w:lineRule="auto"/>
      </w:pPr>
      <w:r w:rsidRPr="00A60A57">
        <w:t>Ochrona zasobów leśnych w drodze zmniejszenia powierzchni zrębów dewastacyjnych, zalesienie najsłabszych użytków rolnych zgodnie z planem urządzenia lasów nie stanowiących własności Skarbu Państwa. Ochrona rezerwatów przyrodniczych „Barania Góra” i „Perzowa Góra”.</w:t>
      </w:r>
    </w:p>
    <w:p w:rsidR="00A60A57" w:rsidRPr="00A60A57" w:rsidRDefault="00A60A57" w:rsidP="00775439">
      <w:pPr>
        <w:numPr>
          <w:ilvl w:val="0"/>
          <w:numId w:val="25"/>
        </w:numPr>
        <w:spacing w:line="360" w:lineRule="auto"/>
      </w:pPr>
      <w:r w:rsidRPr="00A60A57">
        <w:lastRenderedPageBreak/>
        <w:t>Budowanie świadomości ekologicznej społeczeństwa poprzez pomoc we wprowadzaniu szerokiej edukacji we wszystkich formach nauczania, promocja walorów środowiska naturalnego w aspekcie kreowania obrazu gminy.</w:t>
      </w:r>
    </w:p>
    <w:p w:rsidR="00A60A57" w:rsidRPr="00A60A57" w:rsidRDefault="00A60A57" w:rsidP="00775439">
      <w:pPr>
        <w:numPr>
          <w:ilvl w:val="0"/>
          <w:numId w:val="25"/>
        </w:numPr>
        <w:spacing w:line="360" w:lineRule="auto"/>
      </w:pPr>
      <w:r w:rsidRPr="00A60A57">
        <w:t xml:space="preserve">Zagospodarowanie infrastrukturalne obszarów rekreacyjnych i wypoczynkowych </w:t>
      </w:r>
      <w:r w:rsidRPr="00A60A57">
        <w:br/>
        <w:t>w drodze opracowania planów zagospodarowania przestrzennego gmin w aspekcie rozwoju funkcji turystycznych w tym wydzielenie działek rekreacyjnych, opracowanie strategii rozwoju turystyki tego regionu, wyznaczenie nowych szlaków turystycznych tras rowerowych itp.</w:t>
      </w:r>
    </w:p>
    <w:p w:rsidR="00A60A57" w:rsidRPr="00A60A57" w:rsidRDefault="00A60A57" w:rsidP="00775439">
      <w:pPr>
        <w:numPr>
          <w:ilvl w:val="0"/>
          <w:numId w:val="25"/>
        </w:numPr>
        <w:spacing w:line="360" w:lineRule="auto"/>
      </w:pPr>
      <w:r w:rsidRPr="00A60A57">
        <w:t xml:space="preserve">Poprawa czystości w gminie poprzez opracowanie programów estetyzacji miejsc </w:t>
      </w:r>
      <w:r w:rsidRPr="00A60A57">
        <w:br/>
        <w:t>o wysokiej atrakcyjności turystycznej, poprawa estetyki terenów zielonych, tworzenie tzw. „małej architektury” na terenie całej gminy.</w:t>
      </w:r>
    </w:p>
    <w:p w:rsidR="00A60A57" w:rsidRPr="00A60A57" w:rsidRDefault="00A60A57" w:rsidP="00775439">
      <w:pPr>
        <w:numPr>
          <w:ilvl w:val="0"/>
          <w:numId w:val="25"/>
        </w:numPr>
        <w:spacing w:line="360" w:lineRule="auto"/>
      </w:pPr>
      <w:r w:rsidRPr="00A60A57">
        <w:t xml:space="preserve">Promocja walorów turystycznych regionu w drodze zwiększenia opracowań turystycznych promujących gminę Strawczyn, udział w targach i wystawach krajowych i zagranicznych, organizowanie regionalnych imprez krajoznawczych </w:t>
      </w:r>
      <w:r w:rsidRPr="00A60A57">
        <w:br/>
        <w:t>a także sportowych.</w:t>
      </w:r>
    </w:p>
    <w:p w:rsidR="00A60A57" w:rsidRPr="00A60A57" w:rsidRDefault="00A60A57" w:rsidP="00775439">
      <w:pPr>
        <w:numPr>
          <w:ilvl w:val="0"/>
          <w:numId w:val="25"/>
        </w:numPr>
        <w:spacing w:line="360" w:lineRule="auto"/>
      </w:pPr>
      <w:r w:rsidRPr="00A60A57">
        <w:t>Kształcenie kadr dla potrzeb turystyki i agroturystyki w drodze organizacji kursów;</w:t>
      </w:r>
    </w:p>
    <w:p w:rsidR="00A60A57" w:rsidRPr="00A60A57" w:rsidRDefault="00A60A57" w:rsidP="00775439">
      <w:pPr>
        <w:numPr>
          <w:ilvl w:val="0"/>
          <w:numId w:val="25"/>
        </w:numPr>
        <w:spacing w:line="360" w:lineRule="auto"/>
      </w:pPr>
      <w:r w:rsidRPr="00A60A57">
        <w:t>Opracowanie i wydanie aktualnego informatora o gospodarstwach agroturystycznych, promowanie tych gospodarstw, zainicjowanie powstania stowarzyszenia gospodarstw agroturystycznych.</w:t>
      </w:r>
    </w:p>
    <w:p w:rsidR="00A60A57" w:rsidRPr="00A60A57" w:rsidRDefault="00A60A57" w:rsidP="00775439">
      <w:pPr>
        <w:numPr>
          <w:ilvl w:val="0"/>
          <w:numId w:val="25"/>
        </w:numPr>
        <w:spacing w:line="360" w:lineRule="auto"/>
      </w:pPr>
      <w:r w:rsidRPr="00A60A57">
        <w:t xml:space="preserve">Ograniczenie emisji szkodliwych gazów do atmosfery poprzez modernizację kotłowni węglowych w szkołach, ośrodkach zdrowia i innych budynkach użyteczności publicznej. (Obecnie zmodernizowano już kotłownie węglowe </w:t>
      </w:r>
      <w:r w:rsidRPr="00A60A57">
        <w:br/>
        <w:t>w szkołach, ośrodku zdrowia i innych budynkach użyteczności publicznej).</w:t>
      </w:r>
    </w:p>
    <w:p w:rsidR="00A60A57" w:rsidRDefault="00A60A57" w:rsidP="00A60A57">
      <w:pPr>
        <w:spacing w:line="360" w:lineRule="auto"/>
      </w:pPr>
    </w:p>
    <w:p w:rsidR="00163FBA" w:rsidRPr="00A60A57" w:rsidRDefault="00163FBA" w:rsidP="00A60A57">
      <w:pPr>
        <w:spacing w:line="360" w:lineRule="auto"/>
      </w:pPr>
    </w:p>
    <w:p w:rsidR="00A60A57" w:rsidRPr="00A60A57" w:rsidRDefault="00A60A57" w:rsidP="00A60A57">
      <w:pPr>
        <w:spacing w:line="360" w:lineRule="auto"/>
        <w:rPr>
          <w:b/>
        </w:rPr>
      </w:pPr>
      <w:r w:rsidRPr="00A60A57">
        <w:rPr>
          <w:b/>
        </w:rPr>
        <w:t>Projekt założeń do planu zaopatrzenia w ciepło, energię elektryczną i paliwa gazowe Gminy Strawczyn</w:t>
      </w:r>
    </w:p>
    <w:p w:rsidR="00A60A57" w:rsidRPr="00A60A57" w:rsidRDefault="00A60A57" w:rsidP="00A60A57">
      <w:pPr>
        <w:spacing w:line="360" w:lineRule="auto"/>
      </w:pPr>
      <w:r w:rsidRPr="00A60A57">
        <w:rPr>
          <w:b/>
          <w:i/>
        </w:rPr>
        <w:t>Termomodernizacja</w:t>
      </w:r>
    </w:p>
    <w:p w:rsidR="00A60A57" w:rsidRPr="00A60A57" w:rsidRDefault="00A60A57" w:rsidP="00A60A57">
      <w:pPr>
        <w:spacing w:line="360" w:lineRule="auto"/>
      </w:pPr>
      <w:r w:rsidRPr="00A60A57">
        <w:t xml:space="preserve">Zgodnie z założeniami zawartymi w "Projekcie założeń do planu zaopatrzenia w ciepło, energię elektryczną i paliwa gazowe Gminy Strawczyn" sformułowano przedsięwzięcia racjonalizujące użytkowanie ciepła, energii elektrycznej i paliw gazowych w ramach, których </w:t>
      </w:r>
      <w:r w:rsidRPr="00A60A57">
        <w:lastRenderedPageBreak/>
        <w:t>założono wprowadzenie programu termomodernizacji na terenie gminy. Program powinien opierać się na następujących działaniach:</w:t>
      </w:r>
    </w:p>
    <w:p w:rsidR="00A60A57" w:rsidRPr="00A60A57" w:rsidRDefault="00A60A57" w:rsidP="00775439">
      <w:pPr>
        <w:numPr>
          <w:ilvl w:val="0"/>
          <w:numId w:val="26"/>
        </w:numPr>
        <w:spacing w:line="360" w:lineRule="auto"/>
      </w:pPr>
      <w:r w:rsidRPr="00A60A57">
        <w:t>modernizacja istniejących kotłów opalanych węglem i miałem węglowym na kotły opalane węglem i miałem węglowym o wyższej niż dotychczas sprawności,</w:t>
      </w:r>
    </w:p>
    <w:p w:rsidR="00A60A57" w:rsidRPr="00A60A57" w:rsidRDefault="00A60A57" w:rsidP="00775439">
      <w:pPr>
        <w:numPr>
          <w:ilvl w:val="0"/>
          <w:numId w:val="26"/>
        </w:numPr>
        <w:spacing w:line="360" w:lineRule="auto"/>
      </w:pPr>
      <w:r w:rsidRPr="00A60A57">
        <w:t>wymiana istniejących kotłów opalanych gazem lub miałem węglowym na kotły opalane biomasą, gazem lub olejem opałowym,</w:t>
      </w:r>
    </w:p>
    <w:p w:rsidR="00A60A57" w:rsidRPr="00A60A57" w:rsidRDefault="00A60A57" w:rsidP="00775439">
      <w:pPr>
        <w:numPr>
          <w:ilvl w:val="0"/>
          <w:numId w:val="26"/>
        </w:numPr>
        <w:spacing w:line="360" w:lineRule="auto"/>
      </w:pPr>
      <w:r w:rsidRPr="00A60A57">
        <w:t>zastosowanie zautomatyzowanych systemów grzewczych, w tym automatyki pogodowej,</w:t>
      </w:r>
    </w:p>
    <w:p w:rsidR="00A60A57" w:rsidRPr="00A60A57" w:rsidRDefault="00A60A57" w:rsidP="00775439">
      <w:pPr>
        <w:numPr>
          <w:ilvl w:val="0"/>
          <w:numId w:val="26"/>
        </w:numPr>
        <w:spacing w:line="360" w:lineRule="auto"/>
      </w:pPr>
      <w:r w:rsidRPr="00A60A57">
        <w:t>racjonalne użytkowaniem ciepłej wody użytecznej,</w:t>
      </w:r>
    </w:p>
    <w:p w:rsidR="00A60A57" w:rsidRPr="00A60A57" w:rsidRDefault="00A60A57" w:rsidP="00775439">
      <w:pPr>
        <w:numPr>
          <w:ilvl w:val="0"/>
          <w:numId w:val="26"/>
        </w:numPr>
        <w:spacing w:line="360" w:lineRule="auto"/>
      </w:pPr>
      <w:r w:rsidRPr="00A60A57">
        <w:t>montaż ekranów za grzejnikowych.</w:t>
      </w:r>
    </w:p>
    <w:p w:rsidR="00A60A57" w:rsidRPr="00A60A57" w:rsidRDefault="00A60A57" w:rsidP="00A60A57">
      <w:pPr>
        <w:spacing w:line="360" w:lineRule="auto"/>
      </w:pPr>
      <w:r w:rsidRPr="00A60A57">
        <w:rPr>
          <w:b/>
          <w:i/>
        </w:rPr>
        <w:t>Zalecenia dla przedsiębiorstw energetycznych</w:t>
      </w:r>
    </w:p>
    <w:p w:rsidR="00A60A57" w:rsidRPr="00A60A57" w:rsidRDefault="00A60A57" w:rsidP="00A60A57">
      <w:pPr>
        <w:spacing w:line="360" w:lineRule="auto"/>
      </w:pPr>
      <w:r w:rsidRPr="00A60A57">
        <w:t xml:space="preserve">W celu optymalizacji zaopatrzenia gminy w ciepło, energię elektryczną i paliwa gazowe </w:t>
      </w:r>
      <w:r w:rsidRPr="00A60A57">
        <w:br/>
        <w:t>w dokumencie zawarto następujące zalecenia dla wybranych przedsiębiorstw energetycznych działających na terenie gminy:</w:t>
      </w:r>
    </w:p>
    <w:p w:rsidR="00A60A57" w:rsidRPr="00A60A57" w:rsidRDefault="00A60A57" w:rsidP="00A60A57">
      <w:pPr>
        <w:spacing w:line="360" w:lineRule="auto"/>
        <w:rPr>
          <w:i/>
        </w:rPr>
      </w:pPr>
      <w:r w:rsidRPr="00A60A57">
        <w:rPr>
          <w:i/>
        </w:rPr>
        <w:t>Zalecenia dla Zakładów Elektroenergetycznych:</w:t>
      </w:r>
    </w:p>
    <w:p w:rsidR="00A60A57" w:rsidRPr="00A60A57" w:rsidRDefault="00A60A57" w:rsidP="00775439">
      <w:pPr>
        <w:numPr>
          <w:ilvl w:val="0"/>
          <w:numId w:val="27"/>
        </w:numPr>
        <w:spacing w:line="360" w:lineRule="auto"/>
      </w:pPr>
      <w:r w:rsidRPr="00A60A57">
        <w:t xml:space="preserve">możliwości przestawienia pieców i palenisk opalanych do tej pory węglem na ogrzewanie elektryczne, </w:t>
      </w:r>
    </w:p>
    <w:p w:rsidR="00A60A57" w:rsidRPr="00A60A57" w:rsidRDefault="00A60A57" w:rsidP="00775439">
      <w:pPr>
        <w:numPr>
          <w:ilvl w:val="0"/>
          <w:numId w:val="27"/>
        </w:numPr>
        <w:spacing w:line="360" w:lineRule="auto"/>
      </w:pPr>
      <w:r w:rsidRPr="00A60A57">
        <w:t xml:space="preserve">możliwości przebudowy istniejących napowietrznych linii SN i NN napięcia </w:t>
      </w:r>
    </w:p>
    <w:p w:rsidR="00A60A57" w:rsidRPr="00A60A57" w:rsidRDefault="00A60A57" w:rsidP="00775439">
      <w:pPr>
        <w:numPr>
          <w:ilvl w:val="0"/>
          <w:numId w:val="27"/>
        </w:numPr>
        <w:spacing w:line="360" w:lineRule="auto"/>
      </w:pPr>
      <w:r w:rsidRPr="00A60A57">
        <w:t>w rejonie gminy na linie kablowe i napowietrzne izolowane w celu poprawy pewności zasilania i warunków napięciowych,</w:t>
      </w:r>
    </w:p>
    <w:p w:rsidR="00A60A57" w:rsidRPr="00A60A57" w:rsidRDefault="00A60A57" w:rsidP="00775439">
      <w:pPr>
        <w:numPr>
          <w:ilvl w:val="0"/>
          <w:numId w:val="27"/>
        </w:numPr>
        <w:spacing w:line="360" w:lineRule="auto"/>
      </w:pPr>
      <w:r w:rsidRPr="00A60A57">
        <w:t>konieczność wybudowania nowej infrastruktury elektroenergetycznej na obszarach przewidzianych pod nową zabudowę mieszkaniową,</w:t>
      </w:r>
    </w:p>
    <w:p w:rsidR="00A60A57" w:rsidRPr="00A60A57" w:rsidRDefault="00A60A57" w:rsidP="00775439">
      <w:pPr>
        <w:numPr>
          <w:ilvl w:val="0"/>
          <w:numId w:val="27"/>
        </w:numPr>
        <w:spacing w:line="360" w:lineRule="auto"/>
      </w:pPr>
      <w:r w:rsidRPr="00A60A57">
        <w:t>w związku z planowaną budową zbiorników retencyjnych zmiana trasy istniejących linii energetycznych SN i WN</w:t>
      </w:r>
    </w:p>
    <w:p w:rsidR="00A60A57" w:rsidRPr="00A60A57" w:rsidRDefault="00A60A57" w:rsidP="00A60A57">
      <w:pPr>
        <w:spacing w:line="360" w:lineRule="auto"/>
        <w:rPr>
          <w:i/>
        </w:rPr>
      </w:pPr>
      <w:r w:rsidRPr="00A60A57">
        <w:rPr>
          <w:i/>
        </w:rPr>
        <w:t>Zalecenia dla Zakładu Gazowniczego w Kielcach:</w:t>
      </w:r>
    </w:p>
    <w:p w:rsidR="00A60A57" w:rsidRPr="00A60A57" w:rsidRDefault="00A60A57" w:rsidP="00775439">
      <w:pPr>
        <w:numPr>
          <w:ilvl w:val="0"/>
          <w:numId w:val="28"/>
        </w:numPr>
        <w:spacing w:line="360" w:lineRule="auto"/>
      </w:pPr>
      <w:r w:rsidRPr="00A60A57">
        <w:t>Realizacja koncepcji gazyfikacji Gminy Strawczyn w ramach „Gazyfikacji północno zachodniego rejonu województwa świętokrzyskiego”, co zapewni zwiększenie standardu życia mieszkańców gminy oraz przyczyni się do zmniejszenia emisji szkodliwych gazów zwłaszcza CO</w:t>
      </w:r>
      <w:r w:rsidRPr="00A60A57">
        <w:rPr>
          <w:vertAlign w:val="subscript"/>
        </w:rPr>
        <w:t>2</w:t>
      </w:r>
      <w:r w:rsidRPr="00A60A57">
        <w:t>, NO</w:t>
      </w:r>
      <w:r w:rsidRPr="00A60A57">
        <w:rPr>
          <w:vertAlign w:val="subscript"/>
        </w:rPr>
        <w:t>2</w:t>
      </w:r>
      <w:r w:rsidRPr="00A60A57">
        <w:t xml:space="preserve"> i SO</w:t>
      </w:r>
      <w:r w:rsidRPr="00A60A57">
        <w:rPr>
          <w:vertAlign w:val="subscript"/>
        </w:rPr>
        <w:t>2</w:t>
      </w:r>
      <w:r w:rsidRPr="00A60A57">
        <w:t xml:space="preserve"> w przypadku konwersji istniejących źródeł ciepła na piece gazowe.</w:t>
      </w:r>
    </w:p>
    <w:p w:rsidR="00A60A57" w:rsidRPr="00A60A57" w:rsidRDefault="00A60A57" w:rsidP="00A60A57">
      <w:pPr>
        <w:spacing w:line="360" w:lineRule="auto"/>
        <w:rPr>
          <w:i/>
        </w:rPr>
      </w:pPr>
      <w:r w:rsidRPr="00A60A57">
        <w:rPr>
          <w:i/>
        </w:rPr>
        <w:lastRenderedPageBreak/>
        <w:t>Zalecenia dla Gminy Strawczyn w zakresie modernizacji istniejących kotłowni szkolnych.</w:t>
      </w:r>
    </w:p>
    <w:p w:rsidR="00A60A57" w:rsidRPr="00A60A57" w:rsidRDefault="00A60A57" w:rsidP="00775439">
      <w:pPr>
        <w:numPr>
          <w:ilvl w:val="0"/>
          <w:numId w:val="28"/>
        </w:numPr>
        <w:spacing w:line="360" w:lineRule="auto"/>
      </w:pPr>
      <w:r w:rsidRPr="00A60A57">
        <w:t xml:space="preserve">zwrócenie uwagi na możliwość zastąpienia istniejących szkolnych kotłowni węglowo - </w:t>
      </w:r>
      <w:proofErr w:type="spellStart"/>
      <w:r w:rsidRPr="00A60A57">
        <w:t>miałowych</w:t>
      </w:r>
      <w:proofErr w:type="spellEnd"/>
      <w:r w:rsidRPr="00A60A57">
        <w:t xml:space="preserve"> na kotłownie opalane np. słomą. (Obecnie nie ma w szkołach już kotłowni </w:t>
      </w:r>
      <w:proofErr w:type="spellStart"/>
      <w:r w:rsidRPr="00A60A57">
        <w:t>węglowo-miałowych</w:t>
      </w:r>
      <w:proofErr w:type="spellEnd"/>
      <w:r w:rsidRPr="00A60A57">
        <w:t xml:space="preserve">, 3 szkoły ogrzewanie są olejowo, 4 - </w:t>
      </w:r>
      <w:proofErr w:type="spellStart"/>
      <w:r w:rsidRPr="00A60A57">
        <w:t>peletem</w:t>
      </w:r>
      <w:proofErr w:type="spellEnd"/>
      <w:r w:rsidRPr="00A60A57">
        <w:t xml:space="preserve">). </w:t>
      </w:r>
    </w:p>
    <w:p w:rsidR="00A60A57" w:rsidRPr="00A60A57" w:rsidRDefault="00A60A57" w:rsidP="00A60A57">
      <w:pPr>
        <w:spacing w:line="360" w:lineRule="auto"/>
        <w:rPr>
          <w:b/>
        </w:rPr>
      </w:pPr>
      <w:r w:rsidRPr="00A60A57">
        <w:rPr>
          <w:b/>
        </w:rPr>
        <w:t>Program Ochrony Środowiska dla Gminy Strawczyn na lata 2009 - 2016</w:t>
      </w:r>
    </w:p>
    <w:p w:rsidR="00A60A57" w:rsidRPr="00A60A57" w:rsidRDefault="00A60A57" w:rsidP="00A60A57">
      <w:pPr>
        <w:spacing w:line="360" w:lineRule="auto"/>
      </w:pPr>
      <w:r w:rsidRPr="00A60A57">
        <w:t xml:space="preserve">Nadrzędnym celem programu jest: "Trwały rozwój społeczno-gospodarczy gminy </w:t>
      </w:r>
      <w:r w:rsidRPr="00A60A57">
        <w:br/>
        <w:t>w harmonii z ochroną środowiska naturalnego".</w:t>
      </w:r>
    </w:p>
    <w:p w:rsidR="00A60A57" w:rsidRPr="00A60A57" w:rsidRDefault="00A60A57" w:rsidP="00A60A57">
      <w:pPr>
        <w:spacing w:line="360" w:lineRule="auto"/>
      </w:pPr>
      <w:r w:rsidRPr="00A60A57">
        <w:t>Celem systemowym w zakresie ochrony powietrza atmosferycznego jest: "Poprawa jakości powietrza atmosferycznego. Ochrona przed hałasem i niejonizującym promieniowaniem elektromagnetycznym" Aby go wypełnić Gmina Strawczyn postawiła przed sobą następujące kierunki działań:</w:t>
      </w:r>
    </w:p>
    <w:p w:rsidR="00A60A57" w:rsidRPr="00A60A57" w:rsidRDefault="00A60A57" w:rsidP="00A60A57">
      <w:pPr>
        <w:spacing w:line="360" w:lineRule="auto"/>
        <w:rPr>
          <w:b/>
          <w:i/>
        </w:rPr>
      </w:pPr>
      <w:r w:rsidRPr="00A60A57">
        <w:rPr>
          <w:b/>
          <w:i/>
        </w:rPr>
        <w:t>Ograniczenie niskiej emisji</w:t>
      </w:r>
    </w:p>
    <w:p w:rsidR="00A60A57" w:rsidRPr="00A60A57" w:rsidRDefault="00A60A57" w:rsidP="00A60A57">
      <w:pPr>
        <w:spacing w:line="360" w:lineRule="auto"/>
      </w:pPr>
      <w:r w:rsidRPr="00A60A57">
        <w:t>Zastąpienie kotłowni opalanych węglem na kotłownie wykorzystujące bardziej ekologiczne nośniki energii (np. kotłownie olejowe) daje wymierne korzyści dla środowiska takie, jak: zmniejszenie emisji związków siarki do atmosfery oraz likwidacja odpadu pyłu powstającego podczas spalania węgla. Zmiana nośnika energii pozwoli na ograniczenie zagrożenia ze strony niskiej emisji.</w:t>
      </w:r>
    </w:p>
    <w:p w:rsidR="00A60A57" w:rsidRPr="00A60A57" w:rsidRDefault="00A60A57" w:rsidP="00A60A57">
      <w:pPr>
        <w:spacing w:line="360" w:lineRule="auto"/>
      </w:pPr>
      <w:r w:rsidRPr="00A60A57">
        <w:t xml:space="preserve">Należy również promować działania zmniejszające straty cieplne w budynkach (izolacja cieplna, wymiana stolarki okiennej i drzwiowej). Termomodernizacja prowadzona zwłaszcza w budynkach użyteczności publicznej pozwoli na redukcję zużycia energii </w:t>
      </w:r>
      <w:r w:rsidRPr="00A60A57">
        <w:br/>
        <w:t>i ograniczenie emisji zanieczyszczeń do powietrza.</w:t>
      </w:r>
    </w:p>
    <w:p w:rsidR="00A60A57" w:rsidRPr="00A60A57" w:rsidRDefault="00A60A57" w:rsidP="00A60A57">
      <w:pPr>
        <w:spacing w:line="360" w:lineRule="auto"/>
      </w:pPr>
      <w:r w:rsidRPr="00A60A57">
        <w:t>W gminie Strawczyn istnieją potencjalne możliwości zastosowania odnawialnych źródeł energii pozyskiwanej z biomasy jako paliwa dla indywidualnych systemów ciepłowniczych. Gmina promowała będzie wykorzystanie energii z odnawialnych źródeł takich jak np. kolektory słoneczne, pompy ciepła i udzielała informacji o możliwości finansowania działań z tego zakresu.</w:t>
      </w:r>
    </w:p>
    <w:p w:rsidR="00A60A57" w:rsidRPr="00A60A57" w:rsidRDefault="00A60A57" w:rsidP="00A60A57">
      <w:pPr>
        <w:spacing w:line="360" w:lineRule="auto"/>
      </w:pPr>
      <w:r w:rsidRPr="00A60A57">
        <w:t xml:space="preserve">W Programie Ochrony Środowiska gmina uchwaliła następujące cele krótko- </w:t>
      </w:r>
      <w:r w:rsidRPr="00A60A57">
        <w:br/>
        <w:t xml:space="preserve">i długoterminowe z zakresu ograniczenia niskiej emisji: </w:t>
      </w:r>
    </w:p>
    <w:p w:rsidR="00A60A57" w:rsidRPr="00A60A57" w:rsidRDefault="00A60A57" w:rsidP="00775439">
      <w:pPr>
        <w:numPr>
          <w:ilvl w:val="0"/>
          <w:numId w:val="28"/>
        </w:numPr>
        <w:spacing w:line="360" w:lineRule="auto"/>
      </w:pPr>
      <w:r w:rsidRPr="00A60A57">
        <w:t>Wzrost wykorzystania odnawialnych źródeł energii poprzez ich popularyzację.</w:t>
      </w:r>
    </w:p>
    <w:p w:rsidR="00A60A57" w:rsidRPr="00A60A57" w:rsidRDefault="00A60A57" w:rsidP="00775439">
      <w:pPr>
        <w:numPr>
          <w:ilvl w:val="0"/>
          <w:numId w:val="28"/>
        </w:numPr>
        <w:spacing w:line="360" w:lineRule="auto"/>
      </w:pPr>
      <w:r w:rsidRPr="00A60A57">
        <w:t>Termomodernizacja istniejących budynków, stosowanie energooszczędnych materiałów i technologii przy budowie nowych obiektów.</w:t>
      </w:r>
    </w:p>
    <w:p w:rsidR="00A60A57" w:rsidRPr="00A60A57" w:rsidRDefault="00A60A57" w:rsidP="00775439">
      <w:pPr>
        <w:numPr>
          <w:ilvl w:val="0"/>
          <w:numId w:val="28"/>
        </w:numPr>
        <w:spacing w:line="360" w:lineRule="auto"/>
      </w:pPr>
      <w:r w:rsidRPr="00A60A57">
        <w:lastRenderedPageBreak/>
        <w:t>Edukacja mieszkańców nt. zanieczyszczeń z niskiej emisji i szkodliwości spalania odpadów komunalnych w piecach domowych.</w:t>
      </w:r>
    </w:p>
    <w:p w:rsidR="00A60A57" w:rsidRPr="00A60A57" w:rsidRDefault="00A60A57" w:rsidP="00775439">
      <w:pPr>
        <w:numPr>
          <w:ilvl w:val="0"/>
          <w:numId w:val="28"/>
        </w:numPr>
        <w:spacing w:line="360" w:lineRule="auto"/>
      </w:pPr>
      <w:r w:rsidRPr="00A60A57">
        <w:t>Dalsza realizacja programu wymiany kotłów węglowych na kotły wykorzystujące bardziej ekologiczne nośniki energii (olej, gaz, biomasa).</w:t>
      </w:r>
    </w:p>
    <w:p w:rsidR="00A60A57" w:rsidRPr="00A60A57" w:rsidRDefault="00A60A57" w:rsidP="00775439">
      <w:pPr>
        <w:numPr>
          <w:ilvl w:val="0"/>
          <w:numId w:val="28"/>
        </w:numPr>
        <w:spacing w:line="360" w:lineRule="auto"/>
      </w:pPr>
      <w:r w:rsidRPr="00A60A57">
        <w:t>Kontynuacja wsparcia dla podmiotów wykorzystujących energię ze źródeł odnawialnych.</w:t>
      </w:r>
    </w:p>
    <w:p w:rsidR="00A60A57" w:rsidRPr="00A60A57" w:rsidRDefault="00A60A57" w:rsidP="00775439">
      <w:pPr>
        <w:numPr>
          <w:ilvl w:val="0"/>
          <w:numId w:val="28"/>
        </w:numPr>
        <w:spacing w:line="360" w:lineRule="auto"/>
      </w:pPr>
      <w:r w:rsidRPr="00A60A57">
        <w:t>Stosowanie energooszczędnych materiałów i technologii przy budowie nowych obiektów.</w:t>
      </w:r>
    </w:p>
    <w:p w:rsidR="00A60A57" w:rsidRPr="00A60A57" w:rsidRDefault="00A60A57" w:rsidP="00775439">
      <w:pPr>
        <w:numPr>
          <w:ilvl w:val="0"/>
          <w:numId w:val="28"/>
        </w:numPr>
        <w:spacing w:line="360" w:lineRule="auto"/>
      </w:pPr>
      <w:r w:rsidRPr="00A60A57">
        <w:t>Gazyfikacja gminy.</w:t>
      </w:r>
    </w:p>
    <w:p w:rsidR="00A60A57" w:rsidRPr="00A60A57" w:rsidRDefault="00A60A57" w:rsidP="00A60A57">
      <w:pPr>
        <w:spacing w:line="360" w:lineRule="auto"/>
      </w:pPr>
      <w:r w:rsidRPr="00A60A57">
        <w:rPr>
          <w:b/>
          <w:i/>
        </w:rPr>
        <w:t>Ograniczenie uciążliwości systemu komunikacyjnego</w:t>
      </w:r>
    </w:p>
    <w:p w:rsidR="00A60A57" w:rsidRPr="00A60A57" w:rsidRDefault="00A60A57" w:rsidP="00A60A57">
      <w:pPr>
        <w:spacing w:line="360" w:lineRule="auto"/>
      </w:pPr>
      <w:r w:rsidRPr="00A60A57">
        <w:t>Zgodnie z Programem Ochrony Środowiska podjęcie działań w celu zmniejszenia negatywnego oddziaływania na środowisko biegnących przez teren gminy dróg wojewódzkich, powinno dotyczyć przede wszystkim: prowadzenia odpowiedniego planowania przestrzennego, mającego na celu minimalizację uciążliwości komunikacyjnych (rozdział funkcji terenu pod kątem wymogów normatywnych), zwiększenia zakresu wykorzystania urbanistycznych i budowlanych środków</w:t>
      </w:r>
      <w:r w:rsidR="00353A52">
        <w:t xml:space="preserve"> ochrony przed hałasem (ekrany </w:t>
      </w:r>
      <w:r w:rsidRPr="00A60A57">
        <w:t>i przegrody akustyczne, zadrzewienia i zakrzewienia, dźwiękochłonn</w:t>
      </w:r>
      <w:r w:rsidR="00353A52">
        <w:t xml:space="preserve">e elewacje i szyby </w:t>
      </w:r>
      <w:r w:rsidRPr="00A60A57">
        <w:t>w budownictwie), poprawa standardów technicznych dróg poprzez wymianę ich nawierzchni, usprawnienie ruchu, odpowiednie poszerzenie pasów drogowych i ich odpowiednie zagospodarowanie (wprowadzanie zieleni, a w szczególnych przypadkach także ekranów przeciwakustycznych).</w:t>
      </w:r>
    </w:p>
    <w:p w:rsidR="00A60A57" w:rsidRPr="00353A52" w:rsidRDefault="00A60A57" w:rsidP="00A60A57">
      <w:pPr>
        <w:spacing w:line="360" w:lineRule="auto"/>
        <w:rPr>
          <w:u w:val="single"/>
        </w:rPr>
      </w:pPr>
      <w:r w:rsidRPr="00353A52">
        <w:rPr>
          <w:u w:val="single"/>
        </w:rPr>
        <w:t xml:space="preserve">W Programie Ochrony Środowiska gmina uchwaliła następujące cele krótko- </w:t>
      </w:r>
      <w:r w:rsidRPr="00353A52">
        <w:rPr>
          <w:u w:val="single"/>
        </w:rPr>
        <w:br/>
        <w:t>i długoterminowe z zakresu ograniczenia uciążliwości systemu komunikacyjnego:</w:t>
      </w:r>
    </w:p>
    <w:p w:rsidR="00A60A57" w:rsidRPr="00A60A57" w:rsidRDefault="00A60A57" w:rsidP="00775439">
      <w:pPr>
        <w:numPr>
          <w:ilvl w:val="0"/>
          <w:numId w:val="29"/>
        </w:numPr>
        <w:spacing w:line="360" w:lineRule="auto"/>
      </w:pPr>
      <w:r w:rsidRPr="00A60A57">
        <w:t>Rozpoznanie zanieczyszczenia powietrza atmosferycznego pochodzącego z węzłów komunikacyjnych i głównych szlaków komunikacyjnych.</w:t>
      </w:r>
    </w:p>
    <w:p w:rsidR="00A60A57" w:rsidRPr="00A60A57" w:rsidRDefault="00A60A57" w:rsidP="00775439">
      <w:pPr>
        <w:numPr>
          <w:ilvl w:val="0"/>
          <w:numId w:val="29"/>
        </w:numPr>
        <w:spacing w:line="360" w:lineRule="auto"/>
      </w:pPr>
      <w:r w:rsidRPr="00A60A57">
        <w:t>Rejestr obszarów, na których występuje przekroczenie norm poziomu hałasu pochodzącego z węzłów komunikacyjnych.</w:t>
      </w:r>
    </w:p>
    <w:p w:rsidR="00A60A57" w:rsidRPr="00A60A57" w:rsidRDefault="00A60A57" w:rsidP="00775439">
      <w:pPr>
        <w:numPr>
          <w:ilvl w:val="0"/>
          <w:numId w:val="29"/>
        </w:numPr>
        <w:spacing w:line="360" w:lineRule="auto"/>
      </w:pPr>
      <w:r w:rsidRPr="00A60A57">
        <w:t>Modernizacja dróg.</w:t>
      </w:r>
    </w:p>
    <w:p w:rsidR="00A60A57" w:rsidRDefault="00A60A57" w:rsidP="00775439">
      <w:pPr>
        <w:numPr>
          <w:ilvl w:val="0"/>
          <w:numId w:val="29"/>
        </w:numPr>
        <w:spacing w:line="360" w:lineRule="auto"/>
      </w:pPr>
      <w:r w:rsidRPr="00A60A57">
        <w:t>Zlokalizowanie obszarów narażonych na ekspozycję hałasem w miejscowych planach zagospodarowania przestrzennego.</w:t>
      </w:r>
    </w:p>
    <w:p w:rsidR="00A60A57" w:rsidRPr="00163FBA" w:rsidRDefault="00A60A57" w:rsidP="00163FBA">
      <w:pPr>
        <w:pStyle w:val="Nagwek1"/>
      </w:pPr>
      <w:bookmarkStart w:id="72" w:name="_Toc427566517"/>
      <w:bookmarkStart w:id="73" w:name="_Toc427675562"/>
      <w:bookmarkStart w:id="74" w:name="_Toc427734962"/>
      <w:r w:rsidRPr="00163FBA">
        <w:lastRenderedPageBreak/>
        <w:t xml:space="preserve">Charakterystyka </w:t>
      </w:r>
      <w:bookmarkEnd w:id="72"/>
      <w:r w:rsidRPr="00163FBA">
        <w:t>Gminy Strawczyn</w:t>
      </w:r>
      <w:bookmarkEnd w:id="73"/>
      <w:bookmarkEnd w:id="74"/>
    </w:p>
    <w:p w:rsidR="00A60A57" w:rsidRPr="00163FBA" w:rsidRDefault="00A60A57" w:rsidP="00163FBA">
      <w:pPr>
        <w:pStyle w:val="Nagwek2"/>
      </w:pPr>
      <w:bookmarkStart w:id="75" w:name="_Toc427675563"/>
      <w:bookmarkStart w:id="76" w:name="_Toc427734963"/>
      <w:r w:rsidRPr="00163FBA">
        <w:t>Charakterystyka Gminy</w:t>
      </w:r>
      <w:bookmarkEnd w:id="75"/>
      <w:bookmarkEnd w:id="76"/>
    </w:p>
    <w:p w:rsidR="00A60A57" w:rsidRDefault="00A60A57" w:rsidP="00A60A57">
      <w:pPr>
        <w:spacing w:line="360" w:lineRule="auto"/>
        <w:rPr>
          <w:rFonts w:cs="Arial"/>
          <w:lang w:eastAsia="pl-PL"/>
        </w:rPr>
      </w:pPr>
      <w:r w:rsidRPr="009E2B47">
        <w:rPr>
          <w:lang w:eastAsia="pl-PL"/>
        </w:rPr>
        <w:t>Gmina Strawczyn po</w:t>
      </w:r>
      <w:r w:rsidRPr="009E2B47">
        <w:rPr>
          <w:rFonts w:cs="Calibri"/>
          <w:lang w:eastAsia="pl-PL"/>
        </w:rPr>
        <w:t>ł</w:t>
      </w:r>
      <w:r w:rsidRPr="009E2B47">
        <w:rPr>
          <w:lang w:eastAsia="pl-PL"/>
        </w:rPr>
        <w:t>o</w:t>
      </w:r>
      <w:r w:rsidRPr="009E2B47">
        <w:rPr>
          <w:rFonts w:cs="Calibri"/>
          <w:lang w:eastAsia="pl-PL"/>
        </w:rPr>
        <w:t>ż</w:t>
      </w:r>
      <w:r w:rsidRPr="009E2B47">
        <w:rPr>
          <w:lang w:eastAsia="pl-PL"/>
        </w:rPr>
        <w:t>ona jest w centralnej cz</w:t>
      </w:r>
      <w:r w:rsidRPr="009E2B47">
        <w:rPr>
          <w:rFonts w:cs="Calibri"/>
          <w:lang w:eastAsia="pl-PL"/>
        </w:rPr>
        <w:t>ęś</w:t>
      </w:r>
      <w:r w:rsidRPr="009E2B47">
        <w:rPr>
          <w:lang w:eastAsia="pl-PL"/>
        </w:rPr>
        <w:t xml:space="preserve">ci województwa </w:t>
      </w:r>
      <w:r w:rsidRPr="009E2B47">
        <w:rPr>
          <w:rFonts w:cs="Calibri"/>
          <w:lang w:eastAsia="pl-PL"/>
        </w:rPr>
        <w:t>ś</w:t>
      </w:r>
      <w:r w:rsidRPr="009E2B47">
        <w:rPr>
          <w:lang w:eastAsia="pl-PL"/>
        </w:rPr>
        <w:t>wi</w:t>
      </w:r>
      <w:r w:rsidRPr="009E2B47">
        <w:rPr>
          <w:rFonts w:cs="Calibri"/>
          <w:lang w:eastAsia="pl-PL"/>
        </w:rPr>
        <w:t>ę</w:t>
      </w:r>
      <w:r w:rsidRPr="009E2B47">
        <w:rPr>
          <w:lang w:eastAsia="pl-PL"/>
        </w:rPr>
        <w:t xml:space="preserve">tokrzyskiego </w:t>
      </w:r>
      <w:r w:rsidRPr="009E2B47">
        <w:rPr>
          <w:lang w:eastAsia="pl-PL"/>
        </w:rPr>
        <w:br/>
        <w:t>w powiecie kieleckim. Od po</w:t>
      </w:r>
      <w:r w:rsidRPr="009E2B47">
        <w:rPr>
          <w:rFonts w:cs="Calibri"/>
          <w:lang w:eastAsia="pl-PL"/>
        </w:rPr>
        <w:t>ł</w:t>
      </w:r>
      <w:r w:rsidRPr="009E2B47">
        <w:rPr>
          <w:lang w:eastAsia="pl-PL"/>
        </w:rPr>
        <w:t>udnia graniczy z gmin</w:t>
      </w:r>
      <w:r w:rsidRPr="009E2B47">
        <w:rPr>
          <w:rFonts w:cs="Calibri"/>
          <w:lang w:eastAsia="pl-PL"/>
        </w:rPr>
        <w:t>ą</w:t>
      </w:r>
      <w:r w:rsidRPr="009E2B47">
        <w:rPr>
          <w:lang w:eastAsia="pl-PL"/>
        </w:rPr>
        <w:t xml:space="preserve"> Piekoszów, od zachodu z </w:t>
      </w:r>
      <w:proofErr w:type="spellStart"/>
      <w:r w:rsidRPr="009E2B47">
        <w:rPr>
          <w:lang w:eastAsia="pl-PL"/>
        </w:rPr>
        <w:t>gmin</w:t>
      </w:r>
      <w:r w:rsidRPr="009E2B47">
        <w:rPr>
          <w:rFonts w:cs="Calibri"/>
          <w:lang w:eastAsia="pl-PL"/>
        </w:rPr>
        <w:t>ąŁ</w:t>
      </w:r>
      <w:r w:rsidRPr="009E2B47">
        <w:rPr>
          <w:lang w:eastAsia="pl-PL"/>
        </w:rPr>
        <w:t>opuszno</w:t>
      </w:r>
      <w:proofErr w:type="spellEnd"/>
      <w:r w:rsidRPr="009E2B47">
        <w:rPr>
          <w:lang w:eastAsia="pl-PL"/>
        </w:rPr>
        <w:t>, od pó</w:t>
      </w:r>
      <w:r w:rsidRPr="009E2B47">
        <w:rPr>
          <w:rFonts w:cs="Calibri"/>
          <w:lang w:eastAsia="pl-PL"/>
        </w:rPr>
        <w:t>ł</w:t>
      </w:r>
      <w:r w:rsidRPr="009E2B47">
        <w:rPr>
          <w:lang w:eastAsia="pl-PL"/>
        </w:rPr>
        <w:t>nocy z gmin</w:t>
      </w:r>
      <w:r w:rsidRPr="009E2B47">
        <w:rPr>
          <w:rFonts w:cs="Calibri"/>
          <w:lang w:eastAsia="pl-PL"/>
        </w:rPr>
        <w:t>ą</w:t>
      </w:r>
      <w:r w:rsidRPr="009E2B47">
        <w:rPr>
          <w:lang w:eastAsia="pl-PL"/>
        </w:rPr>
        <w:t xml:space="preserve"> Mniów, a od wschodu z gmin</w:t>
      </w:r>
      <w:r w:rsidRPr="009E2B47">
        <w:rPr>
          <w:rFonts w:cs="Calibri"/>
          <w:lang w:eastAsia="pl-PL"/>
        </w:rPr>
        <w:t>ą</w:t>
      </w:r>
      <w:r w:rsidRPr="009E2B47">
        <w:rPr>
          <w:lang w:eastAsia="pl-PL"/>
        </w:rPr>
        <w:t xml:space="preserve"> Miedziana Góra. Teren gminy obejmuje pó</w:t>
      </w:r>
      <w:r w:rsidRPr="009E2B47">
        <w:rPr>
          <w:rFonts w:cs="Calibri"/>
          <w:lang w:eastAsia="pl-PL"/>
        </w:rPr>
        <w:t>ł</w:t>
      </w:r>
      <w:r w:rsidRPr="009E2B47">
        <w:rPr>
          <w:lang w:eastAsia="pl-PL"/>
        </w:rPr>
        <w:t>nocno - zachodni</w:t>
      </w:r>
      <w:r w:rsidRPr="009E2B47">
        <w:rPr>
          <w:rFonts w:cs="Calibri"/>
          <w:lang w:eastAsia="pl-PL"/>
        </w:rPr>
        <w:t>ą</w:t>
      </w:r>
      <w:r w:rsidRPr="009E2B47">
        <w:rPr>
          <w:lang w:eastAsia="pl-PL"/>
        </w:rPr>
        <w:t xml:space="preserve"> cz</w:t>
      </w:r>
      <w:r w:rsidRPr="009E2B47">
        <w:rPr>
          <w:rFonts w:cs="Calibri"/>
          <w:lang w:eastAsia="pl-PL"/>
        </w:rPr>
        <w:t>ęść</w:t>
      </w:r>
      <w:r w:rsidRPr="009E2B47">
        <w:rPr>
          <w:lang w:eastAsia="pl-PL"/>
        </w:rPr>
        <w:t xml:space="preserve"> Gór </w:t>
      </w:r>
      <w:r w:rsidRPr="009E2B47">
        <w:rPr>
          <w:rFonts w:cs="Calibri"/>
          <w:lang w:eastAsia="pl-PL"/>
        </w:rPr>
        <w:t>Ś</w:t>
      </w:r>
      <w:r w:rsidRPr="009E2B47">
        <w:rPr>
          <w:lang w:eastAsia="pl-PL"/>
        </w:rPr>
        <w:t>wi</w:t>
      </w:r>
      <w:r w:rsidRPr="009E2B47">
        <w:rPr>
          <w:rFonts w:cs="Calibri"/>
          <w:lang w:eastAsia="pl-PL"/>
        </w:rPr>
        <w:t>ę</w:t>
      </w:r>
      <w:r w:rsidRPr="009E2B47">
        <w:rPr>
          <w:lang w:eastAsia="pl-PL"/>
        </w:rPr>
        <w:t>tokrzyskich. Granic</w:t>
      </w:r>
      <w:r w:rsidRPr="009E2B47">
        <w:rPr>
          <w:rFonts w:cs="Calibri"/>
          <w:lang w:eastAsia="pl-PL"/>
        </w:rPr>
        <w:t>ą</w:t>
      </w:r>
      <w:r w:rsidRPr="009E2B47">
        <w:rPr>
          <w:lang w:eastAsia="pl-PL"/>
        </w:rPr>
        <w:t xml:space="preserve"> gminy na pó</w:t>
      </w:r>
      <w:r w:rsidRPr="009E2B47">
        <w:rPr>
          <w:rFonts w:cs="Calibri"/>
          <w:lang w:eastAsia="pl-PL"/>
        </w:rPr>
        <w:t>ł</w:t>
      </w:r>
      <w:r w:rsidRPr="009E2B47">
        <w:rPr>
          <w:lang w:eastAsia="pl-PL"/>
        </w:rPr>
        <w:t>nocy jest Pasmo Obl</w:t>
      </w:r>
      <w:r w:rsidRPr="009E2B47">
        <w:rPr>
          <w:rFonts w:cs="Calibri"/>
          <w:lang w:eastAsia="pl-PL"/>
        </w:rPr>
        <w:t>ę</w:t>
      </w:r>
      <w:r>
        <w:rPr>
          <w:lang w:eastAsia="pl-PL"/>
        </w:rPr>
        <w:t>go</w:t>
      </w:r>
      <w:r w:rsidRPr="009E2B47">
        <w:rPr>
          <w:lang w:eastAsia="pl-PL"/>
        </w:rPr>
        <w:t xml:space="preserve">rskie Gór </w:t>
      </w:r>
      <w:r w:rsidRPr="009E2B47">
        <w:rPr>
          <w:rFonts w:cs="Calibri"/>
          <w:lang w:eastAsia="pl-PL"/>
        </w:rPr>
        <w:t>Ś</w:t>
      </w:r>
      <w:r w:rsidRPr="009E2B47">
        <w:rPr>
          <w:lang w:eastAsia="pl-PL"/>
        </w:rPr>
        <w:t>wi</w:t>
      </w:r>
      <w:r w:rsidRPr="009E2B47">
        <w:rPr>
          <w:rFonts w:cs="Calibri"/>
          <w:lang w:eastAsia="pl-PL"/>
        </w:rPr>
        <w:t>ę</w:t>
      </w:r>
      <w:r w:rsidRPr="009E2B47">
        <w:rPr>
          <w:lang w:eastAsia="pl-PL"/>
        </w:rPr>
        <w:t xml:space="preserve">tokrzyskich z górami: </w:t>
      </w:r>
      <w:proofErr w:type="spellStart"/>
      <w:r w:rsidRPr="009E2B47">
        <w:rPr>
          <w:lang w:eastAsia="pl-PL"/>
        </w:rPr>
        <w:t>Ku</w:t>
      </w:r>
      <w:r w:rsidRPr="009E2B47">
        <w:rPr>
          <w:rFonts w:cs="Calibri"/>
          <w:lang w:eastAsia="pl-PL"/>
        </w:rPr>
        <w:t>ź</w:t>
      </w:r>
      <w:r w:rsidRPr="009E2B47">
        <w:rPr>
          <w:lang w:eastAsia="pl-PL"/>
        </w:rPr>
        <w:t>niack</w:t>
      </w:r>
      <w:r w:rsidRPr="009E2B47">
        <w:rPr>
          <w:rFonts w:cs="Calibri"/>
          <w:lang w:eastAsia="pl-PL"/>
        </w:rPr>
        <w:t>ą</w:t>
      </w:r>
      <w:proofErr w:type="spellEnd"/>
      <w:r w:rsidRPr="009E2B47">
        <w:rPr>
          <w:lang w:eastAsia="pl-PL"/>
        </w:rPr>
        <w:t>, Perzow</w:t>
      </w:r>
      <w:r w:rsidRPr="009E2B47">
        <w:rPr>
          <w:rFonts w:cs="Calibri"/>
          <w:lang w:eastAsia="pl-PL"/>
        </w:rPr>
        <w:t>ą</w:t>
      </w:r>
      <w:r w:rsidRPr="009E2B47">
        <w:rPr>
          <w:lang w:eastAsia="pl-PL"/>
        </w:rPr>
        <w:t>, Sieniawsk</w:t>
      </w:r>
      <w:r w:rsidRPr="009E2B47">
        <w:rPr>
          <w:rFonts w:cs="Calibri"/>
          <w:lang w:eastAsia="pl-PL"/>
        </w:rPr>
        <w:t>ą</w:t>
      </w:r>
      <w:r w:rsidRPr="009E2B47">
        <w:rPr>
          <w:lang w:eastAsia="pl-PL"/>
        </w:rPr>
        <w:t xml:space="preserve"> i Barani</w:t>
      </w:r>
      <w:r w:rsidRPr="009E2B47">
        <w:rPr>
          <w:rFonts w:cs="Calibri"/>
          <w:lang w:eastAsia="pl-PL"/>
        </w:rPr>
        <w:t>ą</w:t>
      </w:r>
      <w:r w:rsidRPr="009E2B47">
        <w:rPr>
          <w:lang w:eastAsia="pl-PL"/>
        </w:rPr>
        <w:t>; na po</w:t>
      </w:r>
      <w:r w:rsidRPr="009E2B47">
        <w:rPr>
          <w:rFonts w:cs="Calibri"/>
          <w:lang w:eastAsia="pl-PL"/>
        </w:rPr>
        <w:t>ł</w:t>
      </w:r>
      <w:r w:rsidRPr="009E2B47">
        <w:rPr>
          <w:lang w:eastAsia="pl-PL"/>
        </w:rPr>
        <w:t>udniu jest obni</w:t>
      </w:r>
      <w:r w:rsidRPr="009E2B47">
        <w:rPr>
          <w:rFonts w:cs="Calibri"/>
          <w:lang w:eastAsia="pl-PL"/>
        </w:rPr>
        <w:t>ż</w:t>
      </w:r>
      <w:r w:rsidRPr="009E2B47">
        <w:rPr>
          <w:lang w:eastAsia="pl-PL"/>
        </w:rPr>
        <w:t>enie terenu zwane Pado</w:t>
      </w:r>
      <w:r w:rsidRPr="009E2B47">
        <w:rPr>
          <w:rFonts w:cs="Calibri"/>
          <w:lang w:eastAsia="pl-PL"/>
        </w:rPr>
        <w:t>ł</w:t>
      </w:r>
      <w:r w:rsidRPr="009E2B47">
        <w:rPr>
          <w:lang w:eastAsia="pl-PL"/>
        </w:rPr>
        <w:t>em Strawczy</w:t>
      </w:r>
      <w:r w:rsidRPr="009E2B47">
        <w:rPr>
          <w:rFonts w:cs="Calibri"/>
          <w:lang w:eastAsia="pl-PL"/>
        </w:rPr>
        <w:t>ń</w:t>
      </w:r>
      <w:r w:rsidRPr="009E2B47">
        <w:rPr>
          <w:lang w:eastAsia="pl-PL"/>
        </w:rPr>
        <w:t>skim. Od wschodu</w:t>
      </w:r>
      <w:r w:rsidRPr="009E2B47">
        <w:rPr>
          <w:rFonts w:cs="Arial"/>
          <w:lang w:eastAsia="pl-PL"/>
        </w:rPr>
        <w:t xml:space="preserve"> granicę stanowi rzeka Bobrza, a od zachodu - Łososina. Gmina oddalona jest od miasta wojewódzkiego Kielce o 20 </w:t>
      </w:r>
      <w:proofErr w:type="spellStart"/>
      <w:r w:rsidRPr="009E2B47">
        <w:rPr>
          <w:rFonts w:cs="Arial"/>
          <w:lang w:eastAsia="pl-PL"/>
        </w:rPr>
        <w:t>km.</w:t>
      </w:r>
      <w:r w:rsidR="006123F5">
        <w:rPr>
          <w:rFonts w:cs="Arial"/>
          <w:i/>
          <w:lang w:eastAsia="pl-PL"/>
        </w:rPr>
        <w:t>Mapa</w:t>
      </w:r>
      <w:proofErr w:type="spellEnd"/>
      <w:r w:rsidRPr="00EF2295">
        <w:rPr>
          <w:rFonts w:cs="Arial"/>
          <w:i/>
          <w:lang w:eastAsia="pl-PL"/>
        </w:rPr>
        <w:t xml:space="preserve"> 1</w:t>
      </w:r>
      <w:r>
        <w:rPr>
          <w:rFonts w:cs="Arial"/>
          <w:lang w:eastAsia="pl-PL"/>
        </w:rPr>
        <w:t xml:space="preserve"> przestawia kształt gminy Strawczyn </w:t>
      </w:r>
      <w:r>
        <w:rPr>
          <w:rFonts w:cs="Arial"/>
          <w:lang w:eastAsia="pl-PL"/>
        </w:rPr>
        <w:br/>
        <w:t>z podziałem na sołectwa.</w:t>
      </w:r>
    </w:p>
    <w:p w:rsidR="00163FBA" w:rsidRDefault="00A60A57" w:rsidP="00163FBA">
      <w:pPr>
        <w:keepNext/>
        <w:spacing w:line="360" w:lineRule="auto"/>
      </w:pPr>
      <w:r>
        <w:rPr>
          <w:rFonts w:cs="Arial"/>
          <w:noProof/>
          <w:lang w:eastAsia="pl-PL"/>
        </w:rPr>
        <w:drawing>
          <wp:inline distT="0" distB="0" distL="0" distR="0">
            <wp:extent cx="5327877" cy="3744686"/>
            <wp:effectExtent l="0" t="0" r="6350" b="825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3560" cy="3748680"/>
                    </a:xfrm>
                    <a:prstGeom prst="rect">
                      <a:avLst/>
                    </a:prstGeom>
                    <a:noFill/>
                    <a:ln>
                      <a:noFill/>
                    </a:ln>
                  </pic:spPr>
                </pic:pic>
              </a:graphicData>
            </a:graphic>
          </wp:inline>
        </w:drawing>
      </w:r>
    </w:p>
    <w:p w:rsidR="00A60A57" w:rsidRPr="00163FBA" w:rsidRDefault="00163FBA" w:rsidP="00353A52">
      <w:pPr>
        <w:pStyle w:val="Legenda"/>
        <w:jc w:val="right"/>
        <w:rPr>
          <w:rFonts w:cs="Arial"/>
          <w:color w:val="auto"/>
          <w:lang w:eastAsia="pl-PL"/>
        </w:rPr>
      </w:pPr>
      <w:bookmarkStart w:id="77" w:name="_Toc427675256"/>
      <w:r w:rsidRPr="00163FBA">
        <w:rPr>
          <w:color w:val="auto"/>
        </w:rPr>
        <w:t xml:space="preserve">Mapa </w:t>
      </w:r>
      <w:r w:rsidR="00A93FFF" w:rsidRPr="00163FBA">
        <w:rPr>
          <w:color w:val="auto"/>
        </w:rPr>
        <w:fldChar w:fldCharType="begin"/>
      </w:r>
      <w:r w:rsidRPr="00163FBA">
        <w:rPr>
          <w:color w:val="auto"/>
        </w:rPr>
        <w:instrText xml:space="preserve"> SEQ Mapa \* ARABIC </w:instrText>
      </w:r>
      <w:r w:rsidR="00A93FFF" w:rsidRPr="00163FBA">
        <w:rPr>
          <w:color w:val="auto"/>
        </w:rPr>
        <w:fldChar w:fldCharType="separate"/>
      </w:r>
      <w:r w:rsidR="00871648">
        <w:rPr>
          <w:noProof/>
          <w:color w:val="auto"/>
        </w:rPr>
        <w:t>1</w:t>
      </w:r>
      <w:r w:rsidR="00A93FFF" w:rsidRPr="00163FBA">
        <w:rPr>
          <w:color w:val="auto"/>
        </w:rPr>
        <w:fldChar w:fldCharType="end"/>
      </w:r>
      <w:r w:rsidRPr="00163FBA">
        <w:rPr>
          <w:color w:val="auto"/>
        </w:rPr>
        <w:t>. Granice administracyjne gminy Strawczyn z podziałem na sołectwa</w:t>
      </w:r>
      <w:bookmarkEnd w:id="77"/>
    </w:p>
    <w:p w:rsidR="00A60A57" w:rsidRDefault="00A60A57" w:rsidP="00353A52">
      <w:pPr>
        <w:spacing w:line="360" w:lineRule="auto"/>
        <w:jc w:val="right"/>
        <w:rPr>
          <w:i/>
          <w:sz w:val="20"/>
          <w:szCs w:val="18"/>
        </w:rPr>
      </w:pPr>
      <w:r w:rsidRPr="00F35718">
        <w:rPr>
          <w:rFonts w:cstheme="minorHAnsi"/>
          <w:i/>
          <w:sz w:val="20"/>
          <w:szCs w:val="18"/>
        </w:rPr>
        <w:t xml:space="preserve">Źródło: </w:t>
      </w:r>
      <w:r w:rsidR="0013718A">
        <w:rPr>
          <w:rFonts w:cstheme="minorHAnsi"/>
          <w:i/>
          <w:sz w:val="20"/>
          <w:szCs w:val="18"/>
        </w:rPr>
        <w:t>P</w:t>
      </w:r>
      <w:r w:rsidR="0013718A">
        <w:rPr>
          <w:i/>
          <w:sz w:val="20"/>
          <w:szCs w:val="18"/>
        </w:rPr>
        <w:t>lan</w:t>
      </w:r>
      <w:r w:rsidRPr="00F35718">
        <w:rPr>
          <w:i/>
          <w:sz w:val="20"/>
          <w:szCs w:val="18"/>
        </w:rPr>
        <w:t xml:space="preserve"> zaopatrzenia w ciepło, energię elektryczną i paliwa gazowe Gminy Strawczyn</w:t>
      </w:r>
    </w:p>
    <w:p w:rsidR="00A60A57" w:rsidRDefault="00A60A57" w:rsidP="00A60A57">
      <w:pPr>
        <w:spacing w:line="360" w:lineRule="auto"/>
      </w:pPr>
      <w:r w:rsidRPr="001C1485">
        <w:t xml:space="preserve">Gmina składa się z 12 sołectw. Opis poszczególnych sołectw został przedstawiony </w:t>
      </w:r>
      <w:r w:rsidRPr="001C1485">
        <w:br/>
        <w:t>w tabeli 1.</w:t>
      </w:r>
      <w:bookmarkStart w:id="78" w:name="_Toc425194290"/>
      <w:bookmarkStart w:id="79" w:name="_Toc426012785"/>
      <w:bookmarkStart w:id="80" w:name="_Toc426465094"/>
    </w:p>
    <w:p w:rsidR="007813D7" w:rsidRDefault="007813D7" w:rsidP="00A60A57">
      <w:pPr>
        <w:spacing w:line="360" w:lineRule="auto"/>
      </w:pPr>
    </w:p>
    <w:p w:rsidR="007813D7" w:rsidRPr="00194664" w:rsidRDefault="007813D7" w:rsidP="00A60A57">
      <w:pPr>
        <w:spacing w:line="360" w:lineRule="auto"/>
      </w:pPr>
    </w:p>
    <w:p w:rsidR="006123F5" w:rsidRPr="006123F5" w:rsidRDefault="006123F5" w:rsidP="006123F5">
      <w:pPr>
        <w:pStyle w:val="Legenda"/>
        <w:keepNext/>
        <w:rPr>
          <w:color w:val="auto"/>
        </w:rPr>
      </w:pPr>
      <w:bookmarkStart w:id="81" w:name="_Toc427675347"/>
      <w:bookmarkEnd w:id="78"/>
      <w:bookmarkEnd w:id="79"/>
      <w:bookmarkEnd w:id="80"/>
      <w:r w:rsidRPr="006123F5">
        <w:rPr>
          <w:color w:val="auto"/>
        </w:rPr>
        <w:lastRenderedPageBreak/>
        <w:t xml:space="preserve">Tabela </w:t>
      </w:r>
      <w:r w:rsidR="00A93FFF" w:rsidRPr="006123F5">
        <w:rPr>
          <w:color w:val="auto"/>
        </w:rPr>
        <w:fldChar w:fldCharType="begin"/>
      </w:r>
      <w:r w:rsidRPr="006123F5">
        <w:rPr>
          <w:color w:val="auto"/>
        </w:rPr>
        <w:instrText xml:space="preserve"> SEQ Tabela \* ARABIC </w:instrText>
      </w:r>
      <w:r w:rsidR="00A93FFF" w:rsidRPr="006123F5">
        <w:rPr>
          <w:color w:val="auto"/>
        </w:rPr>
        <w:fldChar w:fldCharType="separate"/>
      </w:r>
      <w:r w:rsidR="00871648">
        <w:rPr>
          <w:noProof/>
          <w:color w:val="auto"/>
        </w:rPr>
        <w:t>1</w:t>
      </w:r>
      <w:r w:rsidR="00A93FFF" w:rsidRPr="006123F5">
        <w:rPr>
          <w:color w:val="auto"/>
        </w:rPr>
        <w:fldChar w:fldCharType="end"/>
      </w:r>
      <w:r w:rsidRPr="006123F5">
        <w:rPr>
          <w:color w:val="auto"/>
        </w:rPr>
        <w:t>. przedstawienie poszczególnych sołectw na terenie gminy Strawczyn</w:t>
      </w:r>
      <w:bookmarkEnd w:id="81"/>
    </w:p>
    <w:tbl>
      <w:tblPr>
        <w:tblStyle w:val="Tabelalisty3akcent12"/>
        <w:tblW w:w="0" w:type="auto"/>
        <w:tblLook w:val="04A0"/>
      </w:tblPr>
      <w:tblGrid>
        <w:gridCol w:w="584"/>
        <w:gridCol w:w="1814"/>
        <w:gridCol w:w="1761"/>
        <w:gridCol w:w="4844"/>
      </w:tblGrid>
      <w:tr w:rsidR="00A60A57" w:rsidTr="006123F5">
        <w:trPr>
          <w:cnfStyle w:val="100000000000"/>
        </w:trPr>
        <w:tc>
          <w:tcPr>
            <w:cnfStyle w:val="001000000100"/>
            <w:tcW w:w="584" w:type="dxa"/>
            <w:tcBorders>
              <w:right w:val="single" w:sz="4" w:space="0" w:color="5B9BD5" w:themeColor="accent1"/>
            </w:tcBorders>
            <w:vAlign w:val="center"/>
          </w:tcPr>
          <w:p w:rsidR="00A60A57" w:rsidRPr="00A60A57" w:rsidRDefault="00A60A57" w:rsidP="00F20C9F">
            <w:pPr>
              <w:jc w:val="center"/>
            </w:pPr>
            <w:r w:rsidRPr="00A60A57">
              <w:t>Lp.</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100000000000"/>
            </w:pPr>
            <w:r w:rsidRPr="00A60A57">
              <w:t>Nazwa sołectwa</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100000000000"/>
            </w:pPr>
            <w:r w:rsidRPr="00A60A57">
              <w:t>Powierzchnia [ha]</w:t>
            </w:r>
          </w:p>
        </w:tc>
        <w:tc>
          <w:tcPr>
            <w:tcW w:w="4844" w:type="dxa"/>
            <w:tcBorders>
              <w:left w:val="single" w:sz="4" w:space="0" w:color="5B9BD5" w:themeColor="accent1"/>
            </w:tcBorders>
            <w:vAlign w:val="center"/>
          </w:tcPr>
          <w:p w:rsidR="00A60A57" w:rsidRPr="00A60A57" w:rsidRDefault="00A60A57" w:rsidP="00F20C9F">
            <w:pPr>
              <w:jc w:val="center"/>
              <w:cnfStyle w:val="100000000000"/>
            </w:pPr>
            <w:r w:rsidRPr="00A60A57">
              <w:t>Lokalizacja sołectwa</w:t>
            </w:r>
          </w:p>
        </w:tc>
      </w:tr>
      <w:tr w:rsidR="00A60A57" w:rsidTr="006123F5">
        <w:trPr>
          <w:cnfStyle w:val="000000100000"/>
          <w:trHeight w:val="674"/>
        </w:trPr>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1</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100000"/>
              <w:rPr>
                <w:b/>
              </w:rPr>
            </w:pPr>
            <w:r w:rsidRPr="00A60A57">
              <w:rPr>
                <w:b/>
              </w:rPr>
              <w:t>Chełmce</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100000"/>
            </w:pPr>
            <w:r w:rsidRPr="00A60A57">
              <w:t>1 116</w:t>
            </w:r>
          </w:p>
        </w:tc>
        <w:tc>
          <w:tcPr>
            <w:tcW w:w="4844" w:type="dxa"/>
            <w:tcBorders>
              <w:left w:val="single" w:sz="4" w:space="0" w:color="5B9BD5" w:themeColor="accent1"/>
            </w:tcBorders>
          </w:tcPr>
          <w:p w:rsidR="00A60A57" w:rsidRPr="00A60A57" w:rsidRDefault="00A60A57" w:rsidP="00F20C9F">
            <w:pPr>
              <w:jc w:val="center"/>
              <w:cnfStyle w:val="000000100000"/>
            </w:pPr>
            <w:r w:rsidRPr="00A60A57">
              <w:t>Położone we wschodniej części gminy graniczące z sołectwami Promnik, Strawczynek, Oblęgór, Oblęgorek</w:t>
            </w:r>
          </w:p>
        </w:tc>
      </w:tr>
      <w:tr w:rsidR="00A60A57" w:rsidTr="006123F5">
        <w:trPr>
          <w:trHeight w:val="718"/>
        </w:trPr>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2</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000000"/>
              <w:rPr>
                <w:b/>
              </w:rPr>
            </w:pPr>
            <w:r w:rsidRPr="00A60A57">
              <w:rPr>
                <w:b/>
              </w:rPr>
              <w:t>Hucisko</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000000"/>
            </w:pPr>
            <w:r w:rsidRPr="00A60A57">
              <w:t>498</w:t>
            </w:r>
          </w:p>
        </w:tc>
        <w:tc>
          <w:tcPr>
            <w:tcW w:w="4844" w:type="dxa"/>
            <w:tcBorders>
              <w:left w:val="single" w:sz="4" w:space="0" w:color="5B9BD5" w:themeColor="accent1"/>
            </w:tcBorders>
            <w:vAlign w:val="center"/>
          </w:tcPr>
          <w:p w:rsidR="00A60A57" w:rsidRPr="00A60A57" w:rsidRDefault="00A60A57" w:rsidP="00F20C9F">
            <w:pPr>
              <w:jc w:val="center"/>
              <w:cnfStyle w:val="000000000000"/>
            </w:pPr>
            <w:r w:rsidRPr="00A60A57">
              <w:t xml:space="preserve">Położone jest w północnej części gminy, graniczące </w:t>
            </w:r>
            <w:r w:rsidRPr="00A60A57">
              <w:br/>
              <w:t>z sołectwami Kuźniaki, Strawczyn i Niedźwiedź.</w:t>
            </w:r>
          </w:p>
        </w:tc>
      </w:tr>
      <w:tr w:rsidR="00A60A57" w:rsidTr="006123F5">
        <w:trPr>
          <w:cnfStyle w:val="000000100000"/>
          <w:trHeight w:val="701"/>
        </w:trPr>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3</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100000"/>
              <w:rPr>
                <w:b/>
              </w:rPr>
            </w:pPr>
            <w:r w:rsidRPr="00A60A57">
              <w:rPr>
                <w:b/>
              </w:rPr>
              <w:t>Korczyn</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100000"/>
            </w:pPr>
            <w:r w:rsidRPr="00A60A57">
              <w:t>812</w:t>
            </w:r>
          </w:p>
        </w:tc>
        <w:tc>
          <w:tcPr>
            <w:tcW w:w="4844" w:type="dxa"/>
            <w:tcBorders>
              <w:left w:val="single" w:sz="4" w:space="0" w:color="5B9BD5" w:themeColor="accent1"/>
            </w:tcBorders>
            <w:vAlign w:val="center"/>
          </w:tcPr>
          <w:p w:rsidR="00A60A57" w:rsidRPr="00A60A57" w:rsidRDefault="00A60A57" w:rsidP="00F20C9F">
            <w:pPr>
              <w:jc w:val="center"/>
              <w:cnfStyle w:val="000000100000"/>
            </w:pPr>
            <w:r w:rsidRPr="00A60A57">
              <w:t xml:space="preserve">Położone w południowo – zachodniej części gminy, graniczy </w:t>
            </w:r>
            <w:r w:rsidRPr="00A60A57">
              <w:br/>
              <w:t>z sołectwami Ruda Strawczyńska i Małogoskie.</w:t>
            </w:r>
          </w:p>
        </w:tc>
      </w:tr>
      <w:tr w:rsidR="00A60A57" w:rsidTr="006123F5">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4</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000000"/>
              <w:rPr>
                <w:b/>
              </w:rPr>
            </w:pPr>
            <w:r w:rsidRPr="00A60A57">
              <w:rPr>
                <w:rFonts w:cs="Arial"/>
                <w:b/>
              </w:rPr>
              <w:t>Kuźniaki</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jc w:val="center"/>
              <w:cnfStyle w:val="000000000000"/>
            </w:pPr>
            <w:r w:rsidRPr="00A60A57">
              <w:t>428</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Położone jest w północno – zachodniej części gminy, graniczące z sołectwami Hucisko i Ruda Strawczyńska.</w:t>
            </w:r>
          </w:p>
        </w:tc>
      </w:tr>
      <w:tr w:rsidR="00A60A57" w:rsidTr="006123F5">
        <w:trPr>
          <w:cnfStyle w:val="000000100000"/>
        </w:trPr>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5</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b/>
              </w:rPr>
            </w:pPr>
            <w:r w:rsidRPr="00A60A57">
              <w:rPr>
                <w:rFonts w:cs="Arial"/>
                <w:b/>
              </w:rPr>
              <w:t>Małogoskie</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290</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Położone w południowej części gminy, graniczy</w:t>
            </w:r>
          </w:p>
          <w:p w:rsidR="00A60A57" w:rsidRPr="00A60A57" w:rsidRDefault="00A60A57" w:rsidP="00F20C9F">
            <w:pPr>
              <w:autoSpaceDE w:val="0"/>
              <w:autoSpaceDN w:val="0"/>
              <w:adjustRightInd w:val="0"/>
              <w:jc w:val="center"/>
              <w:cnfStyle w:val="000000100000"/>
              <w:rPr>
                <w:rFonts w:cs="Arial"/>
              </w:rPr>
            </w:pPr>
            <w:r w:rsidRPr="00A60A57">
              <w:rPr>
                <w:rFonts w:cs="Arial"/>
              </w:rPr>
              <w:t>z sołectwami Korczyn, Ruda Strawczyńska, Promnik.</w:t>
            </w:r>
          </w:p>
        </w:tc>
      </w:tr>
      <w:tr w:rsidR="00A60A57" w:rsidTr="006123F5">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6</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b/>
              </w:rPr>
            </w:pPr>
            <w:r w:rsidRPr="00A60A57">
              <w:rPr>
                <w:rFonts w:cs="Arial"/>
                <w:b/>
              </w:rPr>
              <w:t>Niedźwiedź</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726</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 xml:space="preserve">Położone jest w północnej części gminy, graniczące </w:t>
            </w:r>
            <w:r w:rsidRPr="00A60A57">
              <w:rPr>
                <w:rFonts w:cs="Arial"/>
              </w:rPr>
              <w:br/>
              <w:t>z sołectwami Hucisko, Strawczyn, Strawczynek i Oblęgór.</w:t>
            </w:r>
          </w:p>
        </w:tc>
      </w:tr>
      <w:tr w:rsidR="00A60A57" w:rsidTr="006123F5">
        <w:trPr>
          <w:cnfStyle w:val="000000100000"/>
        </w:trPr>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7</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b/>
              </w:rPr>
            </w:pPr>
            <w:r w:rsidRPr="00A60A57">
              <w:rPr>
                <w:rFonts w:cs="Arial"/>
                <w:b/>
              </w:rPr>
              <w:t>Oblęgorek</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721</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Położone jest w wschodniej części gminy,</w:t>
            </w:r>
          </w:p>
          <w:p w:rsidR="00A60A57" w:rsidRPr="00A60A57" w:rsidRDefault="00A60A57" w:rsidP="00F20C9F">
            <w:pPr>
              <w:autoSpaceDE w:val="0"/>
              <w:autoSpaceDN w:val="0"/>
              <w:adjustRightInd w:val="0"/>
              <w:jc w:val="center"/>
              <w:cnfStyle w:val="000000100000"/>
              <w:rPr>
                <w:rFonts w:cs="Arial"/>
              </w:rPr>
            </w:pPr>
            <w:r w:rsidRPr="00A60A57">
              <w:rPr>
                <w:rFonts w:cs="Arial"/>
              </w:rPr>
              <w:t>graniczące z sołectwami Oblęgór, Strawczynek i Chełmce.</w:t>
            </w:r>
          </w:p>
        </w:tc>
      </w:tr>
      <w:tr w:rsidR="00A60A57" w:rsidTr="006123F5">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8</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b/>
              </w:rPr>
            </w:pPr>
            <w:r w:rsidRPr="00A60A57">
              <w:rPr>
                <w:rFonts w:cs="Arial"/>
                <w:b/>
              </w:rPr>
              <w:t>Oblęgór</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726</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 xml:space="preserve">Położone w północno – wschodniej części Gminy,  graniczące </w:t>
            </w:r>
            <w:r w:rsidRPr="00A60A57">
              <w:rPr>
                <w:rFonts w:cs="Arial"/>
              </w:rPr>
              <w:br/>
              <w:t>z sołectwami Niedźwiedź, Strawczynek i Oblęgorek.</w:t>
            </w:r>
          </w:p>
        </w:tc>
      </w:tr>
      <w:tr w:rsidR="00A60A57" w:rsidTr="006123F5">
        <w:trPr>
          <w:cnfStyle w:val="000000100000"/>
        </w:trPr>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9</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b/>
              </w:rPr>
            </w:pPr>
            <w:r w:rsidRPr="00A60A57">
              <w:rPr>
                <w:rFonts w:cs="Arial"/>
                <w:b/>
              </w:rPr>
              <w:t>Promnik</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1 115</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Położone na południu gminy, graniczy z sołectwami Małogoskie, Strawczyn, Strawczynek i Chełmce.</w:t>
            </w:r>
          </w:p>
        </w:tc>
      </w:tr>
      <w:tr w:rsidR="00A60A57" w:rsidTr="006123F5">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10</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b/>
              </w:rPr>
            </w:pPr>
            <w:r w:rsidRPr="00A60A57">
              <w:rPr>
                <w:rFonts w:cs="Arial"/>
                <w:b/>
              </w:rPr>
              <w:t>Ruda</w:t>
            </w:r>
          </w:p>
          <w:p w:rsidR="00A60A57" w:rsidRPr="00A60A57" w:rsidRDefault="00A60A57" w:rsidP="00F20C9F">
            <w:pPr>
              <w:autoSpaceDE w:val="0"/>
              <w:autoSpaceDN w:val="0"/>
              <w:adjustRightInd w:val="0"/>
              <w:jc w:val="center"/>
              <w:cnfStyle w:val="000000000000"/>
              <w:rPr>
                <w:rFonts w:cs="Arial"/>
                <w:b/>
              </w:rPr>
            </w:pPr>
            <w:r w:rsidRPr="00A60A57">
              <w:rPr>
                <w:rFonts w:cs="Arial"/>
                <w:b/>
              </w:rPr>
              <w:t>Strawczyńska</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685</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Położone w zachodniej części gminy graniczące z sołectwami Kuźniaki, Hucisko, Strawczyn, Małogoskie i Korczyn.</w:t>
            </w:r>
          </w:p>
        </w:tc>
      </w:tr>
      <w:tr w:rsidR="00A60A57" w:rsidTr="006123F5">
        <w:trPr>
          <w:cnfStyle w:val="000000100000"/>
        </w:trPr>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11</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b/>
              </w:rPr>
            </w:pPr>
            <w:r w:rsidRPr="00A60A57">
              <w:rPr>
                <w:rFonts w:cs="Arial"/>
                <w:b/>
              </w:rPr>
              <w:t>Strawczyn</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863</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100000"/>
              <w:rPr>
                <w:rFonts w:cs="Arial"/>
              </w:rPr>
            </w:pPr>
            <w:r w:rsidRPr="00A60A57">
              <w:rPr>
                <w:rFonts w:cs="Arial"/>
              </w:rPr>
              <w:t>Położone jest w centralnej części gminy, graniczy Hucisko, Strawczynek, Ruda Strawczyńska, Promnik, Małogoskie.</w:t>
            </w:r>
          </w:p>
        </w:tc>
      </w:tr>
      <w:tr w:rsidR="00A60A57" w:rsidTr="006123F5">
        <w:tc>
          <w:tcPr>
            <w:cnfStyle w:val="001000000000"/>
            <w:tcW w:w="584" w:type="dxa"/>
            <w:tcBorders>
              <w:right w:val="single" w:sz="4" w:space="0" w:color="5B9BD5" w:themeColor="accent1"/>
            </w:tcBorders>
            <w:vAlign w:val="center"/>
          </w:tcPr>
          <w:p w:rsidR="00A60A57" w:rsidRPr="00A60A57" w:rsidRDefault="00A60A57" w:rsidP="00F20C9F">
            <w:pPr>
              <w:jc w:val="center"/>
              <w:rPr>
                <w:b w:val="0"/>
              </w:rPr>
            </w:pPr>
            <w:r w:rsidRPr="00A60A57">
              <w:t>12</w:t>
            </w:r>
          </w:p>
        </w:tc>
        <w:tc>
          <w:tcPr>
            <w:tcW w:w="1814"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b/>
              </w:rPr>
            </w:pPr>
            <w:r w:rsidRPr="00A60A57">
              <w:rPr>
                <w:rFonts w:cs="Arial"/>
                <w:b/>
              </w:rPr>
              <w:t>Strawczynek</w:t>
            </w:r>
          </w:p>
        </w:tc>
        <w:tc>
          <w:tcPr>
            <w:tcW w:w="1761" w:type="dxa"/>
            <w:tcBorders>
              <w:left w:val="single" w:sz="4" w:space="0" w:color="5B9BD5" w:themeColor="accent1"/>
              <w:righ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646</w:t>
            </w:r>
          </w:p>
        </w:tc>
        <w:tc>
          <w:tcPr>
            <w:tcW w:w="4844" w:type="dxa"/>
            <w:tcBorders>
              <w:left w:val="single" w:sz="4" w:space="0" w:color="5B9BD5" w:themeColor="accent1"/>
            </w:tcBorders>
            <w:vAlign w:val="center"/>
          </w:tcPr>
          <w:p w:rsidR="00A60A57" w:rsidRPr="00A60A57" w:rsidRDefault="00A60A57" w:rsidP="00F20C9F">
            <w:pPr>
              <w:autoSpaceDE w:val="0"/>
              <w:autoSpaceDN w:val="0"/>
              <w:adjustRightInd w:val="0"/>
              <w:jc w:val="center"/>
              <w:cnfStyle w:val="000000000000"/>
              <w:rPr>
                <w:rFonts w:cs="Arial"/>
              </w:rPr>
            </w:pPr>
            <w:r w:rsidRPr="00A60A57">
              <w:rPr>
                <w:rFonts w:cs="Arial"/>
              </w:rPr>
              <w:t xml:space="preserve">Położone jest w centralnej części gminy, graniczy </w:t>
            </w:r>
            <w:r w:rsidRPr="00A60A57">
              <w:rPr>
                <w:rFonts w:cs="Arial"/>
              </w:rPr>
              <w:br/>
              <w:t>z sołectwami Strawczyn, Niedźwiedź, Oblęgór, Oblęgorek, Chełmce, Promnik.</w:t>
            </w:r>
          </w:p>
        </w:tc>
      </w:tr>
    </w:tbl>
    <w:p w:rsidR="00A60A57" w:rsidRPr="00B84A10" w:rsidRDefault="00A60A57" w:rsidP="00A60A57">
      <w:pPr>
        <w:jc w:val="right"/>
        <w:rPr>
          <w:rFonts w:ascii="Cambria Math" w:hAnsi="Cambria Math"/>
          <w:i/>
          <w:sz w:val="24"/>
          <w:szCs w:val="18"/>
        </w:rPr>
      </w:pPr>
      <w:r w:rsidRPr="00B84A10">
        <w:rPr>
          <w:rFonts w:ascii="Cambria Math" w:hAnsi="Cambria Math"/>
          <w:i/>
          <w:sz w:val="24"/>
          <w:szCs w:val="18"/>
        </w:rPr>
        <w:t>Źródło: Program ochrony środowiska dla Gminy Strawczyn na lata 2009-2016.</w:t>
      </w:r>
    </w:p>
    <w:p w:rsidR="00F20C9F" w:rsidRDefault="00F20C9F" w:rsidP="00F20C9F">
      <w:pPr>
        <w:spacing w:line="360" w:lineRule="auto"/>
        <w:rPr>
          <w:rFonts w:ascii="Cambria Math" w:hAnsi="Cambria Math"/>
          <w:sz w:val="24"/>
        </w:rPr>
      </w:pPr>
    </w:p>
    <w:p w:rsidR="00F20C9F" w:rsidRPr="001C1485" w:rsidRDefault="00F20C9F" w:rsidP="00F20C9F">
      <w:pPr>
        <w:spacing w:line="360" w:lineRule="auto"/>
        <w:rPr>
          <w:rFonts w:ascii="Cambria Math" w:hAnsi="Cambria Math"/>
          <w:sz w:val="24"/>
        </w:rPr>
      </w:pPr>
      <w:r w:rsidRPr="001C1485">
        <w:rPr>
          <w:rFonts w:ascii="Cambria Math" w:hAnsi="Cambria Math"/>
          <w:sz w:val="24"/>
        </w:rPr>
        <w:t xml:space="preserve">Gmina od północy graniczy z Gminą Mniów, od wschodu z Gminą Miedziana Góra, od południa z Gminą Piekoszów natomiast od zachodu z Gminą Łopuszno. </w:t>
      </w:r>
      <w:r w:rsidR="006123F5">
        <w:rPr>
          <w:rFonts w:ascii="Cambria Math" w:hAnsi="Cambria Math"/>
          <w:i/>
          <w:sz w:val="24"/>
        </w:rPr>
        <w:t>Mapa</w:t>
      </w:r>
      <w:r w:rsidRPr="001C1485">
        <w:rPr>
          <w:rFonts w:ascii="Cambria Math" w:hAnsi="Cambria Math"/>
          <w:i/>
          <w:sz w:val="24"/>
        </w:rPr>
        <w:t xml:space="preserve"> 2</w:t>
      </w:r>
      <w:r w:rsidRPr="001C1485">
        <w:rPr>
          <w:rFonts w:ascii="Cambria Math" w:hAnsi="Cambria Math"/>
          <w:sz w:val="24"/>
        </w:rPr>
        <w:t xml:space="preserve"> przedstawia położenie gminy na tle powiatu kieleckiego.</w:t>
      </w:r>
    </w:p>
    <w:p w:rsidR="00F20C9F" w:rsidRPr="00F35718" w:rsidRDefault="00F20C9F" w:rsidP="00F20C9F">
      <w:pPr>
        <w:spacing w:line="360" w:lineRule="auto"/>
        <w:rPr>
          <w:rFonts w:ascii="Cambria Math" w:hAnsi="Cambria Math"/>
          <w:sz w:val="20"/>
          <w:szCs w:val="18"/>
        </w:rPr>
      </w:pPr>
    </w:p>
    <w:p w:rsidR="006123F5" w:rsidRDefault="00F20C9F" w:rsidP="006123F5">
      <w:pPr>
        <w:keepNext/>
        <w:jc w:val="center"/>
      </w:pPr>
      <w:r>
        <w:rPr>
          <w:rFonts w:ascii="Cambria Math" w:hAnsi="Cambria Math" w:cstheme="minorHAnsi"/>
          <w:i/>
          <w:noProof/>
          <w:sz w:val="20"/>
          <w:szCs w:val="18"/>
          <w:lang w:eastAsia="pl-PL"/>
        </w:rPr>
        <w:lastRenderedPageBreak/>
        <w:drawing>
          <wp:inline distT="0" distB="0" distL="0" distR="0">
            <wp:extent cx="4286250" cy="2878298"/>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09516" cy="2893922"/>
                    </a:xfrm>
                    <a:prstGeom prst="rect">
                      <a:avLst/>
                    </a:prstGeom>
                    <a:noFill/>
                    <a:ln>
                      <a:noFill/>
                    </a:ln>
                  </pic:spPr>
                </pic:pic>
              </a:graphicData>
            </a:graphic>
          </wp:inline>
        </w:drawing>
      </w:r>
    </w:p>
    <w:p w:rsidR="00F20C9F" w:rsidRPr="006123F5" w:rsidRDefault="006123F5" w:rsidP="00353A52">
      <w:pPr>
        <w:pStyle w:val="Legenda"/>
        <w:jc w:val="right"/>
        <w:rPr>
          <w:rFonts w:ascii="Cambria Math" w:hAnsi="Cambria Math" w:cstheme="minorHAnsi"/>
          <w:i/>
          <w:color w:val="auto"/>
          <w:sz w:val="20"/>
        </w:rPr>
      </w:pPr>
      <w:bookmarkStart w:id="82" w:name="_Toc427675257"/>
      <w:r w:rsidRPr="006123F5">
        <w:rPr>
          <w:color w:val="auto"/>
        </w:rPr>
        <w:t xml:space="preserve">Mapa </w:t>
      </w:r>
      <w:r w:rsidR="00A93FFF" w:rsidRPr="006123F5">
        <w:rPr>
          <w:color w:val="auto"/>
        </w:rPr>
        <w:fldChar w:fldCharType="begin"/>
      </w:r>
      <w:r w:rsidRPr="006123F5">
        <w:rPr>
          <w:color w:val="auto"/>
        </w:rPr>
        <w:instrText xml:space="preserve"> SEQ Mapa \* ARABIC </w:instrText>
      </w:r>
      <w:r w:rsidR="00A93FFF" w:rsidRPr="006123F5">
        <w:rPr>
          <w:color w:val="auto"/>
        </w:rPr>
        <w:fldChar w:fldCharType="separate"/>
      </w:r>
      <w:r w:rsidR="00871648">
        <w:rPr>
          <w:noProof/>
          <w:color w:val="auto"/>
        </w:rPr>
        <w:t>2</w:t>
      </w:r>
      <w:r w:rsidR="00A93FFF" w:rsidRPr="006123F5">
        <w:rPr>
          <w:color w:val="auto"/>
        </w:rPr>
        <w:fldChar w:fldCharType="end"/>
      </w:r>
      <w:r w:rsidRPr="006123F5">
        <w:rPr>
          <w:color w:val="auto"/>
        </w:rPr>
        <w:t>. Położenie gminy na tle powiatu kieleckiego</w:t>
      </w:r>
      <w:bookmarkEnd w:id="82"/>
    </w:p>
    <w:p w:rsidR="00F20C9F" w:rsidRPr="00E60CE4" w:rsidRDefault="00F20C9F" w:rsidP="00353A52">
      <w:pPr>
        <w:jc w:val="right"/>
        <w:rPr>
          <w:rFonts w:ascii="Cambria Math" w:hAnsi="Cambria Math" w:cstheme="minorHAnsi"/>
          <w:i/>
        </w:rPr>
      </w:pPr>
      <w:r w:rsidRPr="00E60CE4">
        <w:rPr>
          <w:rFonts w:ascii="Cambria Math" w:hAnsi="Cambria Math" w:cstheme="minorHAnsi"/>
          <w:i/>
        </w:rPr>
        <w:t>Źródło: Prognoza Oddziaływania na Środowisko „Programu Ochrony Środowiska dla Gminy Strawczyn na lata 2009 – 2016”</w:t>
      </w:r>
      <w:r>
        <w:rPr>
          <w:rFonts w:ascii="Cambria Math" w:hAnsi="Cambria Math" w:cstheme="minorHAnsi"/>
          <w:i/>
        </w:rPr>
        <w:t>.</w:t>
      </w:r>
    </w:p>
    <w:p w:rsidR="00A60A57" w:rsidRPr="006123F5" w:rsidRDefault="004A4C8F" w:rsidP="006123F5">
      <w:pPr>
        <w:pStyle w:val="Nagwek2"/>
      </w:pPr>
      <w:bookmarkStart w:id="83" w:name="_Toc427675564"/>
      <w:bookmarkStart w:id="84" w:name="_Toc427734964"/>
      <w:r w:rsidRPr="006123F5">
        <w:t>Obszary i obiekty podlegające ochronie</w:t>
      </w:r>
      <w:bookmarkEnd w:id="83"/>
      <w:bookmarkEnd w:id="84"/>
    </w:p>
    <w:p w:rsidR="00353A52" w:rsidRDefault="004A4C8F" w:rsidP="004A4C8F">
      <w:pPr>
        <w:autoSpaceDE w:val="0"/>
        <w:autoSpaceDN w:val="0"/>
        <w:adjustRightInd w:val="0"/>
        <w:spacing w:after="0"/>
        <w:rPr>
          <w:rFonts w:ascii="Cambria Math" w:hAnsi="Cambria Math" w:cs="Calibri"/>
          <w:sz w:val="24"/>
          <w:lang w:eastAsia="pl-PL"/>
        </w:rPr>
      </w:pPr>
      <w:r w:rsidRPr="002E4E36">
        <w:rPr>
          <w:rFonts w:ascii="Cambria Math" w:hAnsi="Cambria Math" w:cs="Calibri"/>
          <w:sz w:val="24"/>
          <w:lang w:eastAsia="pl-PL"/>
        </w:rPr>
        <w:t>Łączna powierzchnia terenów objętych ochroną w g</w:t>
      </w:r>
      <w:r>
        <w:rPr>
          <w:rFonts w:ascii="Cambria Math" w:hAnsi="Cambria Math" w:cs="Calibri"/>
          <w:sz w:val="24"/>
          <w:lang w:eastAsia="pl-PL"/>
        </w:rPr>
        <w:t>mi</w:t>
      </w:r>
      <w:r w:rsidR="00353A52">
        <w:rPr>
          <w:rFonts w:ascii="Cambria Math" w:hAnsi="Cambria Math" w:cs="Calibri"/>
          <w:sz w:val="24"/>
          <w:lang w:eastAsia="pl-PL"/>
        </w:rPr>
        <w:t xml:space="preserve">nie Strawczyn wynosi 7 409 ha, </w:t>
      </w:r>
      <w:r w:rsidRPr="002E4E36">
        <w:rPr>
          <w:rFonts w:ascii="Cambria Math" w:hAnsi="Cambria Math" w:cs="Calibri"/>
          <w:sz w:val="24"/>
          <w:lang w:eastAsia="pl-PL"/>
        </w:rPr>
        <w:t xml:space="preserve">z czego rezerwaty przyrody zajmują 115,2 ha, parki </w:t>
      </w:r>
      <w:r>
        <w:rPr>
          <w:rFonts w:ascii="Cambria Math" w:hAnsi="Cambria Math" w:cs="Calibri"/>
          <w:sz w:val="24"/>
          <w:lang w:eastAsia="pl-PL"/>
        </w:rPr>
        <w:t xml:space="preserve">krajobrazowe 1628 ha, a obszary </w:t>
      </w:r>
      <w:r w:rsidRPr="002E4E36">
        <w:rPr>
          <w:rFonts w:ascii="Cambria Math" w:hAnsi="Cambria Math" w:cs="Calibri"/>
          <w:sz w:val="24"/>
          <w:lang w:eastAsia="pl-PL"/>
        </w:rPr>
        <w:t xml:space="preserve">chronionego krajobrazu 5 781 ha. </w:t>
      </w:r>
    </w:p>
    <w:p w:rsidR="004A4C8F" w:rsidRPr="00353A52" w:rsidRDefault="004A4C8F" w:rsidP="004A4C8F">
      <w:pPr>
        <w:autoSpaceDE w:val="0"/>
        <w:autoSpaceDN w:val="0"/>
        <w:adjustRightInd w:val="0"/>
        <w:spacing w:after="0"/>
        <w:rPr>
          <w:rFonts w:ascii="Cambria Math" w:hAnsi="Cambria Math" w:cs="Calibri"/>
          <w:sz w:val="24"/>
          <w:u w:val="single"/>
          <w:lang w:eastAsia="pl-PL"/>
        </w:rPr>
      </w:pPr>
      <w:r w:rsidRPr="00353A52">
        <w:rPr>
          <w:rFonts w:ascii="Cambria Math" w:hAnsi="Cambria Math" w:cs="Calibri"/>
          <w:sz w:val="24"/>
          <w:u w:val="single"/>
          <w:lang w:eastAsia="pl-PL"/>
        </w:rPr>
        <w:t>Obszary prawnie chronione na terenie gminy Strawczyn to:</w:t>
      </w:r>
    </w:p>
    <w:p w:rsidR="004A4C8F" w:rsidRDefault="004A4C8F" w:rsidP="00775439">
      <w:pPr>
        <w:pStyle w:val="Akapitzlist"/>
        <w:numPr>
          <w:ilvl w:val="0"/>
          <w:numId w:val="3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Suchedniowsko-Oblęgorski Park Krajobrazowy</w:t>
      </w:r>
    </w:p>
    <w:p w:rsidR="004A4C8F" w:rsidRDefault="004A4C8F" w:rsidP="00775439">
      <w:pPr>
        <w:pStyle w:val="Akapitzlist"/>
        <w:numPr>
          <w:ilvl w:val="0"/>
          <w:numId w:val="3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Rezerwat Barania Góra</w:t>
      </w:r>
      <w:r>
        <w:rPr>
          <w:rFonts w:ascii="Cambria Math" w:hAnsi="Cambria Math" w:cs="Calibri"/>
          <w:sz w:val="24"/>
          <w:lang w:eastAsia="pl-PL"/>
        </w:rPr>
        <w:t>.</w:t>
      </w:r>
    </w:p>
    <w:p w:rsidR="004A4C8F" w:rsidRDefault="004A4C8F" w:rsidP="00775439">
      <w:pPr>
        <w:pStyle w:val="Akapitzlist"/>
        <w:numPr>
          <w:ilvl w:val="0"/>
          <w:numId w:val="3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Rezerwat Perzowa Góra</w:t>
      </w:r>
      <w:r>
        <w:rPr>
          <w:rFonts w:ascii="Cambria Math" w:hAnsi="Cambria Math" w:cs="Calibri"/>
          <w:sz w:val="24"/>
          <w:lang w:eastAsia="pl-PL"/>
        </w:rPr>
        <w:t>.</w:t>
      </w:r>
    </w:p>
    <w:p w:rsidR="004A4C8F" w:rsidRDefault="004A4C8F" w:rsidP="00775439">
      <w:pPr>
        <w:pStyle w:val="Akapitzlist"/>
        <w:numPr>
          <w:ilvl w:val="0"/>
          <w:numId w:val="3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Suchedniowsko-Oblęgorsk</w:t>
      </w:r>
      <w:r>
        <w:rPr>
          <w:rFonts w:ascii="Cambria Math" w:hAnsi="Cambria Math" w:cs="Calibri"/>
          <w:sz w:val="24"/>
          <w:lang w:eastAsia="pl-PL"/>
        </w:rPr>
        <w:t>i Obszar Chronionego Krajobrazu.</w:t>
      </w:r>
    </w:p>
    <w:p w:rsidR="004A4C8F" w:rsidRDefault="004A4C8F" w:rsidP="00775439">
      <w:pPr>
        <w:pStyle w:val="Akapitzlist"/>
        <w:numPr>
          <w:ilvl w:val="0"/>
          <w:numId w:val="3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Konecko-Łopuszański Obszar Chronionego Krajobrazu.</w:t>
      </w:r>
    </w:p>
    <w:p w:rsidR="004A4C8F" w:rsidRDefault="004A4C8F" w:rsidP="00775439">
      <w:pPr>
        <w:pStyle w:val="Akapitzlist"/>
        <w:numPr>
          <w:ilvl w:val="0"/>
          <w:numId w:val="30"/>
        </w:numPr>
        <w:autoSpaceDE w:val="0"/>
        <w:autoSpaceDN w:val="0"/>
        <w:adjustRightInd w:val="0"/>
        <w:spacing w:before="0" w:after="0"/>
        <w:jc w:val="left"/>
        <w:rPr>
          <w:rFonts w:ascii="Cambria Math" w:hAnsi="Cambria Math" w:cs="Calibri"/>
          <w:sz w:val="24"/>
          <w:lang w:eastAsia="pl-PL"/>
        </w:rPr>
      </w:pPr>
      <w:r>
        <w:rPr>
          <w:rFonts w:ascii="Cambria Math" w:hAnsi="Cambria Math" w:cs="Calibri"/>
          <w:sz w:val="24"/>
          <w:lang w:eastAsia="pl-PL"/>
        </w:rPr>
        <w:t>Obszary Natura 2000.</w:t>
      </w:r>
    </w:p>
    <w:p w:rsidR="004A4C8F" w:rsidRDefault="004A4C8F" w:rsidP="00775439">
      <w:pPr>
        <w:pStyle w:val="Akapitzlist"/>
        <w:numPr>
          <w:ilvl w:val="0"/>
          <w:numId w:val="30"/>
        </w:numPr>
        <w:autoSpaceDE w:val="0"/>
        <w:autoSpaceDN w:val="0"/>
        <w:adjustRightInd w:val="0"/>
        <w:spacing w:before="0" w:after="0"/>
        <w:jc w:val="left"/>
        <w:rPr>
          <w:rFonts w:ascii="Cambria Math" w:hAnsi="Cambria Math" w:cs="Calibri"/>
          <w:sz w:val="24"/>
          <w:lang w:eastAsia="pl-PL"/>
        </w:rPr>
      </w:pPr>
      <w:r>
        <w:rPr>
          <w:rFonts w:ascii="Cambria Math" w:hAnsi="Cambria Math" w:cs="Calibri"/>
          <w:sz w:val="24"/>
          <w:lang w:eastAsia="pl-PL"/>
        </w:rPr>
        <w:t>Pomniki przyrody.</w:t>
      </w:r>
    </w:p>
    <w:p w:rsidR="004A4C8F" w:rsidRDefault="004A4C8F" w:rsidP="004A4C8F">
      <w:pPr>
        <w:autoSpaceDE w:val="0"/>
        <w:autoSpaceDN w:val="0"/>
        <w:adjustRightInd w:val="0"/>
        <w:spacing w:after="0"/>
        <w:jc w:val="left"/>
        <w:rPr>
          <w:rFonts w:ascii="Cambria Math" w:hAnsi="Cambria Math" w:cs="Calibri"/>
          <w:sz w:val="24"/>
          <w:lang w:eastAsia="pl-PL"/>
        </w:rPr>
      </w:pPr>
    </w:p>
    <w:p w:rsidR="004A4C8F" w:rsidRPr="00353A52" w:rsidRDefault="004A4C8F" w:rsidP="004A4C8F">
      <w:pPr>
        <w:autoSpaceDE w:val="0"/>
        <w:autoSpaceDN w:val="0"/>
        <w:adjustRightInd w:val="0"/>
        <w:spacing w:after="0" w:line="360" w:lineRule="auto"/>
        <w:jc w:val="left"/>
        <w:rPr>
          <w:rFonts w:cs="Calibri"/>
          <w:b/>
          <w:lang w:eastAsia="pl-PL"/>
        </w:rPr>
      </w:pPr>
      <w:r w:rsidRPr="00353A52">
        <w:rPr>
          <w:rFonts w:cs="Calibri"/>
          <w:b/>
          <w:lang w:eastAsia="pl-PL"/>
        </w:rPr>
        <w:t>Suchedniowsko-Oblęgorski Park Krajobrazowy (</w:t>
      </w:r>
      <w:proofErr w:type="spellStart"/>
      <w:r w:rsidRPr="00353A52">
        <w:rPr>
          <w:rFonts w:cs="Calibri"/>
          <w:b/>
          <w:lang w:eastAsia="pl-PL"/>
        </w:rPr>
        <w:t>S-OPK</w:t>
      </w:r>
      <w:proofErr w:type="spellEnd"/>
      <w:r w:rsidRPr="00353A52">
        <w:rPr>
          <w:rFonts w:cs="Calibri"/>
          <w:b/>
          <w:lang w:eastAsia="pl-PL"/>
        </w:rPr>
        <w:t>)</w:t>
      </w:r>
    </w:p>
    <w:p w:rsidR="004A4C8F" w:rsidRPr="002E4E36" w:rsidRDefault="004A4C8F" w:rsidP="004A4C8F">
      <w:pPr>
        <w:autoSpaceDE w:val="0"/>
        <w:autoSpaceDN w:val="0"/>
        <w:adjustRightInd w:val="0"/>
        <w:spacing w:after="0" w:line="360" w:lineRule="auto"/>
        <w:rPr>
          <w:rFonts w:ascii="Cambria Math" w:hAnsi="Cambria Math" w:cs="Calibri"/>
          <w:sz w:val="24"/>
          <w:lang w:eastAsia="pl-PL"/>
        </w:rPr>
      </w:pPr>
      <w:r w:rsidRPr="002E4E36">
        <w:rPr>
          <w:rFonts w:ascii="Cambria Math" w:hAnsi="Cambria Math" w:cs="Calibri"/>
          <w:sz w:val="24"/>
          <w:lang w:eastAsia="pl-PL"/>
        </w:rPr>
        <w:t xml:space="preserve">Północna część gminy Strawczyn wchodzi w obręb Suchedniowsko-Oblęgorskiego </w:t>
      </w:r>
      <w:proofErr w:type="spellStart"/>
      <w:r w:rsidRPr="002E4E36">
        <w:rPr>
          <w:rFonts w:ascii="Cambria Math" w:hAnsi="Cambria Math" w:cs="Calibri"/>
          <w:sz w:val="24"/>
          <w:lang w:eastAsia="pl-PL"/>
        </w:rPr>
        <w:t>ParkuKrajobrazowego</w:t>
      </w:r>
      <w:proofErr w:type="spellEnd"/>
      <w:r w:rsidRPr="002E4E36">
        <w:rPr>
          <w:rFonts w:ascii="Cambria Math" w:hAnsi="Cambria Math" w:cs="Calibri"/>
          <w:sz w:val="24"/>
          <w:lang w:eastAsia="pl-PL"/>
        </w:rPr>
        <w:t xml:space="preserve"> i jego otuliny. Park ten jest</w:t>
      </w:r>
      <w:r>
        <w:rPr>
          <w:rFonts w:ascii="Cambria Math" w:hAnsi="Cambria Math" w:cs="Calibri"/>
          <w:sz w:val="24"/>
          <w:lang w:eastAsia="pl-PL"/>
        </w:rPr>
        <w:t xml:space="preserve"> największym kompleksem leśnym znajdującym się na </w:t>
      </w:r>
      <w:r w:rsidRPr="002E4E36">
        <w:rPr>
          <w:rFonts w:ascii="Cambria Math" w:hAnsi="Cambria Math" w:cs="Calibri"/>
          <w:sz w:val="24"/>
          <w:lang w:eastAsia="pl-PL"/>
        </w:rPr>
        <w:t>obszarze Gór Świętokrzyskich o powierzchni 21407 ha (powierzchnia ot</w:t>
      </w:r>
      <w:r>
        <w:rPr>
          <w:rFonts w:ascii="Cambria Math" w:hAnsi="Cambria Math" w:cs="Calibri"/>
          <w:sz w:val="24"/>
          <w:lang w:eastAsia="pl-PL"/>
        </w:rPr>
        <w:t xml:space="preserve">uliny 25681 ha). W jego skład i </w:t>
      </w:r>
      <w:r w:rsidRPr="002E4E36">
        <w:rPr>
          <w:rFonts w:ascii="Cambria Math" w:hAnsi="Cambria Math" w:cs="Calibri"/>
          <w:sz w:val="24"/>
          <w:lang w:eastAsia="pl-PL"/>
        </w:rPr>
        <w:t xml:space="preserve">strefę ochronną wchodzą sołectwa: Hucisko, Niedźwiedź, </w:t>
      </w:r>
      <w:proofErr w:type="spellStart"/>
      <w:r w:rsidRPr="002E4E36">
        <w:rPr>
          <w:rFonts w:ascii="Cambria Math" w:hAnsi="Cambria Math" w:cs="Calibri"/>
          <w:sz w:val="24"/>
          <w:lang w:eastAsia="pl-PL"/>
        </w:rPr>
        <w:t>część</w:t>
      </w:r>
      <w:r>
        <w:rPr>
          <w:rFonts w:ascii="Cambria Math" w:hAnsi="Cambria Math" w:cs="Calibri"/>
          <w:sz w:val="24"/>
          <w:lang w:eastAsia="pl-PL"/>
        </w:rPr>
        <w:t>Oblęgora</w:t>
      </w:r>
      <w:proofErr w:type="spellEnd"/>
      <w:r>
        <w:rPr>
          <w:rFonts w:ascii="Cambria Math" w:hAnsi="Cambria Math" w:cs="Calibri"/>
          <w:sz w:val="24"/>
          <w:lang w:eastAsia="pl-PL"/>
        </w:rPr>
        <w:t xml:space="preserve"> oraz północne granice </w:t>
      </w:r>
      <w:r w:rsidRPr="002E4E36">
        <w:rPr>
          <w:rFonts w:ascii="Cambria Math" w:hAnsi="Cambria Math" w:cs="Calibri"/>
          <w:sz w:val="24"/>
          <w:lang w:eastAsia="pl-PL"/>
        </w:rPr>
        <w:t>Kuźniaków i Oblęgorka. Łączna powierzchnia tego obszaru na terenie gminy wynosi około 1510 ha</w:t>
      </w:r>
      <w:r>
        <w:rPr>
          <w:rFonts w:ascii="Cambria Math" w:hAnsi="Cambria Math" w:cs="Calibri"/>
          <w:sz w:val="24"/>
          <w:lang w:eastAsia="pl-PL"/>
        </w:rPr>
        <w:t xml:space="preserve"> tj. </w:t>
      </w:r>
      <w:r w:rsidRPr="002E4E36">
        <w:rPr>
          <w:rFonts w:ascii="Cambria Math" w:hAnsi="Cambria Math" w:cs="Calibri"/>
          <w:sz w:val="24"/>
          <w:lang w:eastAsia="pl-PL"/>
        </w:rPr>
        <w:t xml:space="preserve">17,5 % </w:t>
      </w:r>
      <w:r w:rsidRPr="002E4E36">
        <w:rPr>
          <w:rFonts w:ascii="Cambria Math" w:hAnsi="Cambria Math" w:cs="Calibri"/>
          <w:sz w:val="24"/>
          <w:lang w:eastAsia="pl-PL"/>
        </w:rPr>
        <w:lastRenderedPageBreak/>
        <w:t>powierzchni gminy. Otulinę parku tworzą pozostałe obszary so</w:t>
      </w:r>
      <w:r>
        <w:rPr>
          <w:rFonts w:ascii="Cambria Math" w:hAnsi="Cambria Math" w:cs="Calibri"/>
          <w:sz w:val="24"/>
          <w:lang w:eastAsia="pl-PL"/>
        </w:rPr>
        <w:t xml:space="preserve">łectw tj. Chełmce, Strawczynek, </w:t>
      </w:r>
      <w:r w:rsidRPr="002E4E36">
        <w:rPr>
          <w:rFonts w:ascii="Cambria Math" w:hAnsi="Cambria Math" w:cs="Calibri"/>
          <w:sz w:val="24"/>
          <w:lang w:eastAsia="pl-PL"/>
        </w:rPr>
        <w:t>Strawczyn i Ruda Strawczyńska. Powierzchnia otuliny parku na terenie gminy Strawczyn wynosi około4580 ha tj. 55,1% ogólnej powierzchni gminy.</w:t>
      </w:r>
    </w:p>
    <w:p w:rsidR="004A4C8F" w:rsidRPr="002E4E36" w:rsidRDefault="004A4C8F" w:rsidP="004A4C8F">
      <w:pPr>
        <w:autoSpaceDE w:val="0"/>
        <w:autoSpaceDN w:val="0"/>
        <w:adjustRightInd w:val="0"/>
        <w:spacing w:after="0" w:line="360" w:lineRule="auto"/>
        <w:rPr>
          <w:rFonts w:ascii="Cambria Math" w:hAnsi="Cambria Math" w:cs="Calibri"/>
          <w:sz w:val="24"/>
          <w:lang w:eastAsia="pl-PL"/>
        </w:rPr>
      </w:pPr>
      <w:r w:rsidRPr="002E4E36">
        <w:rPr>
          <w:rFonts w:ascii="Cambria Math" w:hAnsi="Cambria Math" w:cs="Calibri"/>
          <w:sz w:val="24"/>
          <w:lang w:eastAsia="pl-PL"/>
        </w:rPr>
        <w:t xml:space="preserve">Park został utworzony w celu ochrony unikatowych zasobów przyrodniczych </w:t>
      </w:r>
      <w:proofErr w:type="spellStart"/>
      <w:r w:rsidRPr="002E4E36">
        <w:rPr>
          <w:rFonts w:ascii="Cambria Math" w:hAnsi="Cambria Math" w:cs="Calibri"/>
          <w:sz w:val="24"/>
          <w:lang w:eastAsia="pl-PL"/>
        </w:rPr>
        <w:t>regionuświętokrzyskiego</w:t>
      </w:r>
      <w:proofErr w:type="spellEnd"/>
      <w:r w:rsidRPr="002E4E36">
        <w:rPr>
          <w:rFonts w:ascii="Cambria Math" w:hAnsi="Cambria Math" w:cs="Calibri"/>
          <w:sz w:val="24"/>
          <w:lang w:eastAsia="pl-PL"/>
        </w:rPr>
        <w:t xml:space="preserve"> oraz licznych obiektów Staropolskiego Zagłębia Prze</w:t>
      </w:r>
      <w:r>
        <w:rPr>
          <w:rFonts w:ascii="Cambria Math" w:hAnsi="Cambria Math" w:cs="Calibri"/>
          <w:sz w:val="24"/>
          <w:lang w:eastAsia="pl-PL"/>
        </w:rPr>
        <w:t xml:space="preserve">mysłowego, ponieważ łączy on na </w:t>
      </w:r>
      <w:r w:rsidRPr="002E4E36">
        <w:rPr>
          <w:rFonts w:ascii="Cambria Math" w:hAnsi="Cambria Math" w:cs="Calibri"/>
          <w:sz w:val="24"/>
          <w:lang w:eastAsia="pl-PL"/>
        </w:rPr>
        <w:t>swoim obszarze bogactwo przyrodnicze z</w:t>
      </w:r>
      <w:r>
        <w:rPr>
          <w:rFonts w:ascii="Cambria Math" w:hAnsi="Cambria Math" w:cs="Calibri"/>
          <w:sz w:val="24"/>
          <w:lang w:eastAsia="pl-PL"/>
        </w:rPr>
        <w:t xml:space="preserve"> bogactwem zasobów kulturowych. </w:t>
      </w:r>
      <w:r w:rsidRPr="002E4E36">
        <w:rPr>
          <w:rFonts w:ascii="Cambria Math" w:hAnsi="Cambria Math" w:cs="Calibri"/>
          <w:sz w:val="24"/>
          <w:lang w:eastAsia="pl-PL"/>
        </w:rPr>
        <w:t>Zachodnią część parku stanowi Pasmo Oblęgorskie z najwyższym</w:t>
      </w:r>
      <w:r>
        <w:rPr>
          <w:rFonts w:ascii="Cambria Math" w:hAnsi="Cambria Math" w:cs="Calibri"/>
          <w:sz w:val="24"/>
          <w:lang w:eastAsia="pl-PL"/>
        </w:rPr>
        <w:t xml:space="preserve"> wzniesieniem – Górą Sieniawską </w:t>
      </w:r>
      <w:r w:rsidRPr="002E4E36">
        <w:rPr>
          <w:rFonts w:ascii="Cambria Math" w:hAnsi="Cambria Math" w:cs="Calibri"/>
          <w:sz w:val="24"/>
          <w:lang w:eastAsia="pl-PL"/>
        </w:rPr>
        <w:t xml:space="preserve">(444 m </w:t>
      </w:r>
      <w:proofErr w:type="spellStart"/>
      <w:r w:rsidRPr="002E4E36">
        <w:rPr>
          <w:rFonts w:ascii="Cambria Math" w:hAnsi="Cambria Math" w:cs="Calibri"/>
          <w:sz w:val="24"/>
          <w:lang w:eastAsia="pl-PL"/>
        </w:rPr>
        <w:t>npm</w:t>
      </w:r>
      <w:proofErr w:type="spellEnd"/>
      <w:r w:rsidRPr="002E4E36">
        <w:rPr>
          <w:rFonts w:ascii="Cambria Math" w:hAnsi="Cambria Math" w:cs="Calibri"/>
          <w:sz w:val="24"/>
          <w:lang w:eastAsia="pl-PL"/>
        </w:rPr>
        <w:t xml:space="preserve">.). Największą wartością środowiska przyrodniczego Parku są lasy, stanowiące </w:t>
      </w:r>
      <w:proofErr w:type="spellStart"/>
      <w:r w:rsidRPr="002E4E36">
        <w:rPr>
          <w:rFonts w:ascii="Cambria Math" w:hAnsi="Cambria Math" w:cs="Calibri"/>
          <w:sz w:val="24"/>
          <w:lang w:eastAsia="pl-PL"/>
        </w:rPr>
        <w:t>pozostałośćdużego</w:t>
      </w:r>
      <w:proofErr w:type="spellEnd"/>
      <w:r w:rsidRPr="002E4E36">
        <w:rPr>
          <w:rFonts w:ascii="Cambria Math" w:hAnsi="Cambria Math" w:cs="Calibri"/>
          <w:sz w:val="24"/>
          <w:lang w:eastAsia="pl-PL"/>
        </w:rPr>
        <w:t>, jeszcze w znacznym stopniu naturalnego kompleksu leśnego zwanego Puszczą</w:t>
      </w:r>
      <w:r>
        <w:rPr>
          <w:rFonts w:ascii="Cambria Math" w:hAnsi="Cambria Math" w:cs="Calibri"/>
          <w:sz w:val="24"/>
          <w:lang w:eastAsia="pl-PL"/>
        </w:rPr>
        <w:t xml:space="preserve"> Świętokrzyską, </w:t>
      </w:r>
      <w:r w:rsidRPr="002E4E36">
        <w:rPr>
          <w:rFonts w:ascii="Cambria Math" w:hAnsi="Cambria Math" w:cs="Calibri"/>
          <w:sz w:val="24"/>
          <w:lang w:eastAsia="pl-PL"/>
        </w:rPr>
        <w:t xml:space="preserve">który reprezentują różnowiekowe i wielogatunkowe drzewostany. </w:t>
      </w:r>
      <w:r>
        <w:rPr>
          <w:rFonts w:ascii="Cambria Math" w:hAnsi="Cambria Math" w:cs="Calibri"/>
          <w:sz w:val="24"/>
          <w:lang w:eastAsia="pl-PL"/>
        </w:rPr>
        <w:t xml:space="preserve">Osobliwością parku jest modrzew </w:t>
      </w:r>
      <w:r w:rsidRPr="002E4E36">
        <w:rPr>
          <w:rFonts w:ascii="Cambria Math" w:hAnsi="Cambria Math" w:cs="Calibri"/>
          <w:sz w:val="24"/>
          <w:lang w:eastAsia="pl-PL"/>
        </w:rPr>
        <w:t>polski.</w:t>
      </w:r>
    </w:p>
    <w:p w:rsidR="004A4C8F" w:rsidRPr="002E4E36" w:rsidRDefault="004A4C8F" w:rsidP="004A4C8F">
      <w:pPr>
        <w:autoSpaceDE w:val="0"/>
        <w:autoSpaceDN w:val="0"/>
        <w:adjustRightInd w:val="0"/>
        <w:spacing w:after="0" w:line="360" w:lineRule="auto"/>
        <w:rPr>
          <w:rFonts w:ascii="Cambria Math" w:hAnsi="Cambria Math" w:cs="Calibri"/>
          <w:sz w:val="24"/>
          <w:lang w:eastAsia="pl-PL"/>
        </w:rPr>
      </w:pPr>
      <w:r w:rsidRPr="002E4E36">
        <w:rPr>
          <w:rFonts w:ascii="Cambria Math" w:hAnsi="Cambria Math" w:cs="Calibri"/>
          <w:sz w:val="24"/>
          <w:lang w:eastAsia="pl-PL"/>
        </w:rPr>
        <w:t xml:space="preserve">Obszar </w:t>
      </w:r>
      <w:proofErr w:type="spellStart"/>
      <w:r w:rsidRPr="002E4E36">
        <w:rPr>
          <w:rFonts w:ascii="Cambria Math" w:hAnsi="Cambria Math" w:cs="Calibri"/>
          <w:sz w:val="24"/>
          <w:lang w:eastAsia="pl-PL"/>
        </w:rPr>
        <w:t>S-OPK</w:t>
      </w:r>
      <w:proofErr w:type="spellEnd"/>
      <w:r w:rsidRPr="002E4E36">
        <w:rPr>
          <w:rFonts w:ascii="Cambria Math" w:hAnsi="Cambria Math" w:cs="Calibri"/>
          <w:sz w:val="24"/>
          <w:lang w:eastAsia="pl-PL"/>
        </w:rPr>
        <w:t xml:space="preserve"> charakteryzuje się ogromnym bogactwem roślinno</w:t>
      </w:r>
      <w:r>
        <w:rPr>
          <w:rFonts w:ascii="Cambria Math" w:hAnsi="Cambria Math" w:cs="Calibri"/>
          <w:sz w:val="24"/>
          <w:lang w:eastAsia="pl-PL"/>
        </w:rPr>
        <w:t xml:space="preserve">ści, począwszy od runa leśnego, </w:t>
      </w:r>
      <w:r w:rsidRPr="002E4E36">
        <w:rPr>
          <w:rFonts w:ascii="Cambria Math" w:hAnsi="Cambria Math" w:cs="Calibri"/>
          <w:sz w:val="24"/>
          <w:lang w:eastAsia="pl-PL"/>
        </w:rPr>
        <w:t>gdzie występuje 346 gatunków roślin naczyniowych, w tym 15 gatu</w:t>
      </w:r>
      <w:r>
        <w:rPr>
          <w:rFonts w:ascii="Cambria Math" w:hAnsi="Cambria Math" w:cs="Calibri"/>
          <w:sz w:val="24"/>
          <w:lang w:eastAsia="pl-PL"/>
        </w:rPr>
        <w:t xml:space="preserve">nków objętych całkowitą ochroną </w:t>
      </w:r>
      <w:r w:rsidRPr="002E4E36">
        <w:rPr>
          <w:rFonts w:ascii="Cambria Math" w:hAnsi="Cambria Math" w:cs="Calibri"/>
          <w:sz w:val="24"/>
          <w:lang w:eastAsia="pl-PL"/>
        </w:rPr>
        <w:t>prawną oraz 7 – ochroną częściową. Na uwagę zasługuje: liczydło górski</w:t>
      </w:r>
      <w:r>
        <w:rPr>
          <w:rFonts w:ascii="Cambria Math" w:hAnsi="Cambria Math" w:cs="Calibri"/>
          <w:sz w:val="24"/>
          <w:lang w:eastAsia="pl-PL"/>
        </w:rPr>
        <w:t xml:space="preserve">e, arnika górska, omieg górski, </w:t>
      </w:r>
      <w:r w:rsidRPr="002E4E36">
        <w:rPr>
          <w:rFonts w:ascii="Cambria Math" w:hAnsi="Cambria Math" w:cs="Calibri"/>
          <w:sz w:val="24"/>
          <w:lang w:eastAsia="pl-PL"/>
        </w:rPr>
        <w:t>zanokcica pó</w:t>
      </w:r>
      <w:r>
        <w:rPr>
          <w:rFonts w:ascii="Cambria Math" w:hAnsi="Cambria Math" w:cs="Calibri"/>
          <w:sz w:val="24"/>
          <w:lang w:eastAsia="pl-PL"/>
        </w:rPr>
        <w:t xml:space="preserve">łnocna, czosnek niedźwiedzi. Na </w:t>
      </w:r>
      <w:r w:rsidRPr="002E4E36">
        <w:rPr>
          <w:rFonts w:ascii="Cambria Math" w:hAnsi="Cambria Math" w:cs="Calibri"/>
          <w:sz w:val="24"/>
          <w:lang w:eastAsia="pl-PL"/>
        </w:rPr>
        <w:t>zboczach wzniesień</w:t>
      </w:r>
      <w:r>
        <w:rPr>
          <w:rFonts w:ascii="Cambria Math" w:hAnsi="Cambria Math" w:cs="Calibri"/>
          <w:sz w:val="24"/>
          <w:lang w:eastAsia="pl-PL"/>
        </w:rPr>
        <w:t xml:space="preserve"> występują: różanka właściwa, dziewięć</w:t>
      </w:r>
      <w:r w:rsidRPr="002E4E36">
        <w:rPr>
          <w:rFonts w:ascii="Cambria Math" w:hAnsi="Cambria Math" w:cs="Calibri"/>
          <w:sz w:val="24"/>
          <w:lang w:eastAsia="pl-PL"/>
        </w:rPr>
        <w:t xml:space="preserve">sił bezłodygowy, skalnica trójpalczasta, ciemiężyk </w:t>
      </w:r>
      <w:proofErr w:type="spellStart"/>
      <w:r w:rsidRPr="002E4E36">
        <w:rPr>
          <w:rFonts w:ascii="Cambria Math" w:hAnsi="Cambria Math" w:cs="Calibri"/>
          <w:sz w:val="24"/>
          <w:lang w:eastAsia="pl-PL"/>
        </w:rPr>
        <w:t>białokwiatowy</w:t>
      </w:r>
      <w:proofErr w:type="spellEnd"/>
      <w:r w:rsidRPr="002E4E36">
        <w:rPr>
          <w:rFonts w:ascii="Cambria Math" w:hAnsi="Cambria Math" w:cs="Calibri"/>
          <w:sz w:val="24"/>
          <w:lang w:eastAsia="pl-PL"/>
        </w:rPr>
        <w:t>.</w:t>
      </w:r>
    </w:p>
    <w:p w:rsidR="004A4C8F" w:rsidRDefault="004A4C8F" w:rsidP="004A4C8F">
      <w:pPr>
        <w:autoSpaceDE w:val="0"/>
        <w:autoSpaceDN w:val="0"/>
        <w:adjustRightInd w:val="0"/>
        <w:spacing w:after="0" w:line="360" w:lineRule="auto"/>
        <w:jc w:val="left"/>
        <w:rPr>
          <w:rFonts w:ascii="Cambria Math" w:hAnsi="Cambria Math" w:cs="Calibri"/>
          <w:sz w:val="24"/>
          <w:lang w:eastAsia="pl-PL"/>
        </w:rPr>
      </w:pPr>
      <w:r w:rsidRPr="002E4E36">
        <w:rPr>
          <w:rFonts w:ascii="Cambria Math" w:hAnsi="Cambria Math" w:cs="Calibri"/>
          <w:sz w:val="24"/>
          <w:lang w:eastAsia="pl-PL"/>
        </w:rPr>
        <w:t>Świat zwierząt reprezentują: łoś, dzik, jeleń, borsuk, popielice i ryjówki.</w:t>
      </w:r>
    </w:p>
    <w:p w:rsidR="004A4C8F" w:rsidRDefault="004A4C8F" w:rsidP="004A4C8F">
      <w:pPr>
        <w:autoSpaceDE w:val="0"/>
        <w:autoSpaceDN w:val="0"/>
        <w:adjustRightInd w:val="0"/>
        <w:spacing w:after="0" w:line="360" w:lineRule="auto"/>
        <w:jc w:val="left"/>
        <w:rPr>
          <w:rFonts w:ascii="Cambria Math" w:hAnsi="Cambria Math" w:cs="Calibri"/>
          <w:sz w:val="24"/>
          <w:lang w:eastAsia="pl-PL"/>
        </w:rPr>
      </w:pPr>
    </w:p>
    <w:p w:rsidR="004A4C8F" w:rsidRPr="00353A52" w:rsidRDefault="004A4C8F" w:rsidP="004A4C8F">
      <w:pPr>
        <w:autoSpaceDE w:val="0"/>
        <w:autoSpaceDN w:val="0"/>
        <w:adjustRightInd w:val="0"/>
        <w:spacing w:after="0" w:line="360" w:lineRule="auto"/>
        <w:jc w:val="left"/>
        <w:rPr>
          <w:rFonts w:cs="Calibri"/>
          <w:b/>
          <w:lang w:eastAsia="pl-PL"/>
        </w:rPr>
      </w:pPr>
      <w:r w:rsidRPr="00353A52">
        <w:rPr>
          <w:rFonts w:cs="Calibri"/>
          <w:b/>
          <w:lang w:eastAsia="pl-PL"/>
        </w:rPr>
        <w:t xml:space="preserve">Rezerwat „Barania Góra” </w:t>
      </w:r>
    </w:p>
    <w:p w:rsidR="004A4C8F" w:rsidRDefault="004A4C8F" w:rsidP="004A4C8F">
      <w:pPr>
        <w:autoSpaceDE w:val="0"/>
        <w:autoSpaceDN w:val="0"/>
        <w:adjustRightInd w:val="0"/>
        <w:spacing w:after="0" w:line="360" w:lineRule="auto"/>
        <w:rPr>
          <w:rFonts w:ascii="Cambria Math" w:hAnsi="Cambria Math" w:cs="Calibri"/>
          <w:sz w:val="24"/>
          <w:lang w:eastAsia="pl-PL"/>
        </w:rPr>
      </w:pPr>
      <w:r>
        <w:rPr>
          <w:rFonts w:ascii="Cambria Math" w:hAnsi="Cambria Math" w:cs="Calibri"/>
          <w:sz w:val="24"/>
          <w:lang w:eastAsia="pl-PL"/>
        </w:rPr>
        <w:t>R</w:t>
      </w:r>
      <w:r w:rsidRPr="002E4E36">
        <w:rPr>
          <w:rFonts w:ascii="Cambria Math" w:hAnsi="Cambria Math" w:cs="Calibri"/>
          <w:sz w:val="24"/>
          <w:lang w:eastAsia="pl-PL"/>
        </w:rPr>
        <w:t xml:space="preserve">ezerwat przyrody ożywionej w </w:t>
      </w:r>
      <w:r>
        <w:rPr>
          <w:rFonts w:ascii="Cambria Math" w:hAnsi="Cambria Math" w:cs="Calibri"/>
          <w:sz w:val="24"/>
          <w:lang w:eastAsia="pl-PL"/>
        </w:rPr>
        <w:t xml:space="preserve">miejscowości Oblęgorek, zajmuje </w:t>
      </w:r>
      <w:r w:rsidRPr="002E4E36">
        <w:rPr>
          <w:rFonts w:ascii="Cambria Math" w:hAnsi="Cambria Math" w:cs="Calibri"/>
          <w:sz w:val="24"/>
          <w:lang w:eastAsia="pl-PL"/>
        </w:rPr>
        <w:t>powierzchnię 82,09 ha. Utworzony został w 1994 r. w celu ochro</w:t>
      </w:r>
      <w:r>
        <w:rPr>
          <w:rFonts w:ascii="Cambria Math" w:hAnsi="Cambria Math" w:cs="Calibri"/>
          <w:sz w:val="24"/>
          <w:lang w:eastAsia="pl-PL"/>
        </w:rPr>
        <w:t xml:space="preserve">ny i dla zachowania naturalnych </w:t>
      </w:r>
      <w:r w:rsidRPr="002E4E36">
        <w:rPr>
          <w:rFonts w:ascii="Cambria Math" w:hAnsi="Cambria Math" w:cs="Calibri"/>
          <w:sz w:val="24"/>
          <w:lang w:eastAsia="pl-PL"/>
        </w:rPr>
        <w:t xml:space="preserve">wielogatunkowych zbiorowisk leśnych grądu i buczyny oraz ciekawej roślinności runa leśnego. </w:t>
      </w:r>
      <w:proofErr w:type="spellStart"/>
      <w:r w:rsidRPr="002E4E36">
        <w:rPr>
          <w:rFonts w:ascii="Cambria Math" w:hAnsi="Cambria Math" w:cs="Calibri"/>
          <w:sz w:val="24"/>
          <w:lang w:eastAsia="pl-PL"/>
        </w:rPr>
        <w:t>Naterenie</w:t>
      </w:r>
      <w:proofErr w:type="spellEnd"/>
      <w:r w:rsidRPr="002E4E36">
        <w:rPr>
          <w:rFonts w:ascii="Cambria Math" w:hAnsi="Cambria Math" w:cs="Calibri"/>
          <w:sz w:val="24"/>
          <w:lang w:eastAsia="pl-PL"/>
        </w:rPr>
        <w:t xml:space="preserve"> rezerwatu dominują gleby brunatne kwaśne i typ siedliskow</w:t>
      </w:r>
      <w:r>
        <w:rPr>
          <w:rFonts w:ascii="Cambria Math" w:hAnsi="Cambria Math" w:cs="Calibri"/>
          <w:sz w:val="24"/>
          <w:lang w:eastAsia="pl-PL"/>
        </w:rPr>
        <w:t xml:space="preserve">y lasu – las świeży. Drzewostan </w:t>
      </w:r>
      <w:r w:rsidRPr="002E4E36">
        <w:rPr>
          <w:rFonts w:ascii="Cambria Math" w:hAnsi="Cambria Math" w:cs="Calibri"/>
          <w:sz w:val="24"/>
          <w:lang w:eastAsia="pl-PL"/>
        </w:rPr>
        <w:t>stanowi tutaj głównie jodła i buk, a także dąb, sosna, osika, brzoza i grab</w:t>
      </w:r>
      <w:r>
        <w:rPr>
          <w:rFonts w:ascii="Cambria Math" w:hAnsi="Cambria Math" w:cs="Calibri"/>
          <w:sz w:val="24"/>
          <w:lang w:eastAsia="pl-PL"/>
        </w:rPr>
        <w:t xml:space="preserve">. W miejscach wilgotnych </w:t>
      </w:r>
      <w:r w:rsidRPr="002E4E36">
        <w:rPr>
          <w:rFonts w:ascii="Cambria Math" w:hAnsi="Cambria Math" w:cs="Calibri"/>
          <w:sz w:val="24"/>
          <w:lang w:eastAsia="pl-PL"/>
        </w:rPr>
        <w:t>występuje olsza czarna. Na obszarze tym występuje wiele gatunk</w:t>
      </w:r>
      <w:r>
        <w:rPr>
          <w:rFonts w:ascii="Cambria Math" w:hAnsi="Cambria Math" w:cs="Calibri"/>
          <w:sz w:val="24"/>
          <w:lang w:eastAsia="pl-PL"/>
        </w:rPr>
        <w:t xml:space="preserve">ów roślin naczyniowych objętych </w:t>
      </w:r>
      <w:r w:rsidRPr="002E4E36">
        <w:rPr>
          <w:rFonts w:ascii="Cambria Math" w:hAnsi="Cambria Math" w:cs="Calibri"/>
          <w:sz w:val="24"/>
          <w:lang w:eastAsia="pl-PL"/>
        </w:rPr>
        <w:t xml:space="preserve">ochroną prawną. Są to m.in.: widłak wroniec, wawrzynek </w:t>
      </w:r>
      <w:proofErr w:type="spellStart"/>
      <w:r w:rsidRPr="002E4E36">
        <w:rPr>
          <w:rFonts w:ascii="Cambria Math" w:hAnsi="Cambria Math" w:cs="Calibri"/>
          <w:sz w:val="24"/>
          <w:lang w:eastAsia="pl-PL"/>
        </w:rPr>
        <w:t>wilczeły</w:t>
      </w:r>
      <w:r>
        <w:rPr>
          <w:rFonts w:ascii="Cambria Math" w:hAnsi="Cambria Math" w:cs="Calibri"/>
          <w:sz w:val="24"/>
          <w:lang w:eastAsia="pl-PL"/>
        </w:rPr>
        <w:t>ko</w:t>
      </w:r>
      <w:proofErr w:type="spellEnd"/>
      <w:r>
        <w:rPr>
          <w:rFonts w:ascii="Cambria Math" w:hAnsi="Cambria Math" w:cs="Calibri"/>
          <w:sz w:val="24"/>
          <w:lang w:eastAsia="pl-PL"/>
        </w:rPr>
        <w:t xml:space="preserve">, barwinek pospolity, bluszcz </w:t>
      </w:r>
      <w:r w:rsidRPr="002E4E36">
        <w:rPr>
          <w:rFonts w:ascii="Cambria Math" w:hAnsi="Cambria Math" w:cs="Calibri"/>
          <w:sz w:val="24"/>
          <w:lang w:eastAsia="pl-PL"/>
        </w:rPr>
        <w:t>pospolity. Spośród rzadkich gatunków występują: jawor, nareczn</w:t>
      </w:r>
      <w:r>
        <w:rPr>
          <w:rFonts w:ascii="Cambria Math" w:hAnsi="Cambria Math" w:cs="Calibri"/>
          <w:sz w:val="24"/>
          <w:lang w:eastAsia="pl-PL"/>
        </w:rPr>
        <w:t xml:space="preserve">ica szerokolistna, wierzbownica </w:t>
      </w:r>
      <w:r w:rsidRPr="002E4E36">
        <w:rPr>
          <w:rFonts w:ascii="Cambria Math" w:hAnsi="Cambria Math" w:cs="Calibri"/>
          <w:sz w:val="24"/>
          <w:lang w:eastAsia="pl-PL"/>
        </w:rPr>
        <w:t>górska, kokoryczka okółkowa. Miejsce to jest malowniczo położone</w:t>
      </w:r>
      <w:r>
        <w:rPr>
          <w:rFonts w:ascii="Cambria Math" w:hAnsi="Cambria Math" w:cs="Calibri"/>
          <w:sz w:val="24"/>
          <w:lang w:eastAsia="pl-PL"/>
        </w:rPr>
        <w:t xml:space="preserve"> na terenie mocno pofałdowanym, </w:t>
      </w:r>
      <w:r w:rsidRPr="002E4E36">
        <w:rPr>
          <w:rFonts w:ascii="Cambria Math" w:hAnsi="Cambria Math" w:cs="Calibri"/>
          <w:sz w:val="24"/>
          <w:lang w:eastAsia="pl-PL"/>
        </w:rPr>
        <w:t>poprzecinanym licznymi jarami i wąwozami lessowymi przekszt</w:t>
      </w:r>
      <w:r>
        <w:rPr>
          <w:rFonts w:ascii="Cambria Math" w:hAnsi="Cambria Math" w:cs="Calibri"/>
          <w:sz w:val="24"/>
          <w:lang w:eastAsia="pl-PL"/>
        </w:rPr>
        <w:t xml:space="preserve">ałconymi miejscami w nieckowate </w:t>
      </w:r>
      <w:r w:rsidRPr="002E4E36">
        <w:rPr>
          <w:rFonts w:ascii="Cambria Math" w:hAnsi="Cambria Math" w:cs="Calibri"/>
          <w:sz w:val="24"/>
          <w:lang w:eastAsia="pl-PL"/>
        </w:rPr>
        <w:t>dolinki.</w:t>
      </w:r>
    </w:p>
    <w:p w:rsidR="004A4C8F" w:rsidRDefault="004A4C8F" w:rsidP="004A4C8F">
      <w:pPr>
        <w:autoSpaceDE w:val="0"/>
        <w:autoSpaceDN w:val="0"/>
        <w:adjustRightInd w:val="0"/>
        <w:spacing w:after="0" w:line="360" w:lineRule="auto"/>
        <w:rPr>
          <w:rFonts w:ascii="Cambria Math" w:hAnsi="Cambria Math" w:cs="Calibri"/>
          <w:sz w:val="24"/>
          <w:lang w:eastAsia="pl-PL"/>
        </w:rPr>
      </w:pPr>
    </w:p>
    <w:p w:rsidR="004A4C8F" w:rsidRPr="00353A52" w:rsidRDefault="004A4C8F" w:rsidP="004A4C8F">
      <w:pPr>
        <w:autoSpaceDE w:val="0"/>
        <w:autoSpaceDN w:val="0"/>
        <w:adjustRightInd w:val="0"/>
        <w:spacing w:after="0" w:line="360" w:lineRule="auto"/>
        <w:rPr>
          <w:rFonts w:cs="Calibri"/>
          <w:lang w:eastAsia="pl-PL"/>
        </w:rPr>
      </w:pPr>
      <w:r w:rsidRPr="00353A52">
        <w:rPr>
          <w:rFonts w:cs="Calibri"/>
          <w:b/>
          <w:lang w:eastAsia="pl-PL"/>
        </w:rPr>
        <w:t>Rezerwat „Perzowa Góra”</w:t>
      </w:r>
    </w:p>
    <w:p w:rsidR="004A4C8F" w:rsidRDefault="004A4C8F" w:rsidP="004A4C8F">
      <w:pPr>
        <w:autoSpaceDE w:val="0"/>
        <w:autoSpaceDN w:val="0"/>
        <w:adjustRightInd w:val="0"/>
        <w:spacing w:after="0" w:line="360" w:lineRule="auto"/>
        <w:rPr>
          <w:rFonts w:ascii="Cambria Math" w:hAnsi="Cambria Math" w:cs="Calibri"/>
          <w:sz w:val="24"/>
          <w:lang w:eastAsia="pl-PL"/>
        </w:rPr>
      </w:pPr>
      <w:r>
        <w:rPr>
          <w:rFonts w:ascii="Cambria Math" w:hAnsi="Cambria Math" w:cs="Calibri"/>
          <w:sz w:val="24"/>
          <w:lang w:eastAsia="pl-PL"/>
        </w:rPr>
        <w:t>R</w:t>
      </w:r>
      <w:r w:rsidRPr="0087026E">
        <w:rPr>
          <w:rFonts w:ascii="Cambria Math" w:hAnsi="Cambria Math" w:cs="Calibri"/>
          <w:sz w:val="24"/>
          <w:lang w:eastAsia="pl-PL"/>
        </w:rPr>
        <w:t xml:space="preserve">ezerwat przyrody nieożywionej </w:t>
      </w:r>
      <w:r>
        <w:rPr>
          <w:rFonts w:ascii="Cambria Math" w:hAnsi="Cambria Math" w:cs="Calibri"/>
          <w:sz w:val="24"/>
          <w:lang w:eastAsia="pl-PL"/>
        </w:rPr>
        <w:t xml:space="preserve">w miejscowości Hucisko, zajmuje </w:t>
      </w:r>
      <w:r w:rsidRPr="0087026E">
        <w:rPr>
          <w:rFonts w:ascii="Cambria Math" w:hAnsi="Cambria Math" w:cs="Calibri"/>
          <w:sz w:val="24"/>
          <w:lang w:eastAsia="pl-PL"/>
        </w:rPr>
        <w:t xml:space="preserve">powierzchnię 33,08 ha. Utworzony został w 1995 r. w celu ochrony i dla zachowania </w:t>
      </w:r>
      <w:proofErr w:type="spellStart"/>
      <w:r w:rsidRPr="0087026E">
        <w:rPr>
          <w:rFonts w:ascii="Cambria Math" w:hAnsi="Cambria Math" w:cs="Calibri"/>
          <w:sz w:val="24"/>
          <w:lang w:eastAsia="pl-PL"/>
        </w:rPr>
        <w:t>odsłonięćpiaskowca</w:t>
      </w:r>
      <w:proofErr w:type="spellEnd"/>
      <w:r w:rsidRPr="0087026E">
        <w:rPr>
          <w:rFonts w:ascii="Cambria Math" w:hAnsi="Cambria Math" w:cs="Calibri"/>
          <w:sz w:val="24"/>
          <w:lang w:eastAsia="pl-PL"/>
        </w:rPr>
        <w:t xml:space="preserve"> triasowego oraz wielogatunkowego drzewostanu</w:t>
      </w:r>
      <w:r>
        <w:rPr>
          <w:rFonts w:ascii="Cambria Math" w:hAnsi="Cambria Math" w:cs="Calibri"/>
          <w:sz w:val="24"/>
          <w:lang w:eastAsia="pl-PL"/>
        </w:rPr>
        <w:t xml:space="preserve"> z fragmentem żyznej buczyny na </w:t>
      </w:r>
      <w:r w:rsidRPr="0087026E">
        <w:rPr>
          <w:rFonts w:ascii="Cambria Math" w:hAnsi="Cambria Math" w:cs="Calibri"/>
          <w:sz w:val="24"/>
          <w:lang w:eastAsia="pl-PL"/>
        </w:rPr>
        <w:t>wzniesieniu Perzowa Góra. Grzbiet Perzowej Góry (395 m n.p.m.) na c</w:t>
      </w:r>
      <w:r>
        <w:rPr>
          <w:rFonts w:ascii="Cambria Math" w:hAnsi="Cambria Math" w:cs="Calibri"/>
          <w:sz w:val="24"/>
          <w:lang w:eastAsia="pl-PL"/>
        </w:rPr>
        <w:t xml:space="preserve">ałej długości pokryty jest tymi </w:t>
      </w:r>
      <w:r w:rsidRPr="0087026E">
        <w:rPr>
          <w:rFonts w:ascii="Cambria Math" w:hAnsi="Cambria Math" w:cs="Calibri"/>
          <w:sz w:val="24"/>
          <w:lang w:eastAsia="pl-PL"/>
        </w:rPr>
        <w:t>właśnie blokami piaskowca i tworzy tzw. antyklinę oblęgorską. Tutaj w g</w:t>
      </w:r>
      <w:r>
        <w:rPr>
          <w:rFonts w:ascii="Cambria Math" w:hAnsi="Cambria Math" w:cs="Calibri"/>
          <w:sz w:val="24"/>
          <w:lang w:eastAsia="pl-PL"/>
        </w:rPr>
        <w:t xml:space="preserve">łębokiej niszy skalnej znajduje </w:t>
      </w:r>
      <w:r w:rsidRPr="0087026E">
        <w:rPr>
          <w:rFonts w:ascii="Cambria Math" w:hAnsi="Cambria Math" w:cs="Calibri"/>
          <w:sz w:val="24"/>
          <w:lang w:eastAsia="pl-PL"/>
        </w:rPr>
        <w:t xml:space="preserve">się grota - Kaplica Św. Rozalii - pomnik przyrody nieożywionej. Partię </w:t>
      </w:r>
      <w:r>
        <w:rPr>
          <w:rFonts w:ascii="Cambria Math" w:hAnsi="Cambria Math" w:cs="Calibri"/>
          <w:sz w:val="24"/>
          <w:lang w:eastAsia="pl-PL"/>
        </w:rPr>
        <w:t xml:space="preserve">szczytową rezerwatu porasta las </w:t>
      </w:r>
      <w:r w:rsidRPr="0087026E">
        <w:rPr>
          <w:rFonts w:ascii="Cambria Math" w:hAnsi="Cambria Math" w:cs="Calibri"/>
          <w:sz w:val="24"/>
          <w:lang w:eastAsia="pl-PL"/>
        </w:rPr>
        <w:t>jodłowo-bukowy z domieszką jaworu, grabu, dębu i sosny. Wyst</w:t>
      </w:r>
      <w:r>
        <w:rPr>
          <w:rFonts w:ascii="Cambria Math" w:hAnsi="Cambria Math" w:cs="Calibri"/>
          <w:sz w:val="24"/>
          <w:lang w:eastAsia="pl-PL"/>
        </w:rPr>
        <w:t xml:space="preserve">ępują tu gatunki roślin prawnie </w:t>
      </w:r>
      <w:r w:rsidRPr="0087026E">
        <w:rPr>
          <w:rFonts w:ascii="Cambria Math" w:hAnsi="Cambria Math" w:cs="Calibri"/>
          <w:sz w:val="24"/>
          <w:lang w:eastAsia="pl-PL"/>
        </w:rPr>
        <w:t xml:space="preserve">chronionych takie, jak: śnieżynka przebiśnieg, kruszyna, lilia </w:t>
      </w:r>
      <w:proofErr w:type="spellStart"/>
      <w:r w:rsidRPr="0087026E">
        <w:rPr>
          <w:rFonts w:ascii="Cambria Math" w:hAnsi="Cambria Math" w:cs="Calibri"/>
          <w:sz w:val="24"/>
          <w:lang w:eastAsia="pl-PL"/>
        </w:rPr>
        <w:t>złotogłó</w:t>
      </w:r>
      <w:r>
        <w:rPr>
          <w:rFonts w:ascii="Cambria Math" w:hAnsi="Cambria Math" w:cs="Calibri"/>
          <w:sz w:val="24"/>
          <w:lang w:eastAsia="pl-PL"/>
        </w:rPr>
        <w:t>w</w:t>
      </w:r>
      <w:proofErr w:type="spellEnd"/>
      <w:r>
        <w:rPr>
          <w:rFonts w:ascii="Cambria Math" w:hAnsi="Cambria Math" w:cs="Calibri"/>
          <w:sz w:val="24"/>
          <w:lang w:eastAsia="pl-PL"/>
        </w:rPr>
        <w:t xml:space="preserve">, paprotka zwyczajna, konwalia </w:t>
      </w:r>
      <w:r w:rsidRPr="0087026E">
        <w:rPr>
          <w:rFonts w:ascii="Cambria Math" w:hAnsi="Cambria Math" w:cs="Calibri"/>
          <w:sz w:val="24"/>
          <w:lang w:eastAsia="pl-PL"/>
        </w:rPr>
        <w:t xml:space="preserve">majowa, marzanka wonna oraz roślin rzadkich: czosnek niedźwiedzi, </w:t>
      </w:r>
      <w:r>
        <w:rPr>
          <w:rFonts w:ascii="Cambria Math" w:hAnsi="Cambria Math" w:cs="Calibri"/>
          <w:sz w:val="24"/>
          <w:lang w:eastAsia="pl-PL"/>
        </w:rPr>
        <w:t xml:space="preserve">zawilec żółty, kokorycz pełna i </w:t>
      </w:r>
      <w:r w:rsidRPr="0087026E">
        <w:rPr>
          <w:rFonts w:ascii="Cambria Math" w:hAnsi="Cambria Math" w:cs="Calibri"/>
          <w:sz w:val="24"/>
          <w:lang w:eastAsia="pl-PL"/>
        </w:rPr>
        <w:t xml:space="preserve">pusta. W części północnej rezerwatu przeważa drzewostan grabowo-jodłowy z domieszką </w:t>
      </w:r>
      <w:r>
        <w:rPr>
          <w:rFonts w:ascii="Cambria Math" w:hAnsi="Cambria Math" w:cs="Calibri"/>
          <w:sz w:val="24"/>
          <w:lang w:eastAsia="pl-PL"/>
        </w:rPr>
        <w:t xml:space="preserve">buka, brzozy, </w:t>
      </w:r>
      <w:r w:rsidRPr="0087026E">
        <w:rPr>
          <w:rFonts w:ascii="Cambria Math" w:hAnsi="Cambria Math" w:cs="Calibri"/>
          <w:sz w:val="24"/>
          <w:lang w:eastAsia="pl-PL"/>
        </w:rPr>
        <w:t>dębu i modrzewia. Południową część zajmują drzewostany sosnow</w:t>
      </w:r>
      <w:r>
        <w:rPr>
          <w:rFonts w:ascii="Cambria Math" w:hAnsi="Cambria Math" w:cs="Calibri"/>
          <w:sz w:val="24"/>
          <w:lang w:eastAsia="pl-PL"/>
        </w:rPr>
        <w:t xml:space="preserve">o- grabowe i </w:t>
      </w:r>
      <w:proofErr w:type="spellStart"/>
      <w:r>
        <w:rPr>
          <w:rFonts w:ascii="Cambria Math" w:hAnsi="Cambria Math" w:cs="Calibri"/>
          <w:sz w:val="24"/>
          <w:lang w:eastAsia="pl-PL"/>
        </w:rPr>
        <w:t>sosnowez</w:t>
      </w:r>
      <w:proofErr w:type="spellEnd"/>
      <w:r>
        <w:rPr>
          <w:rFonts w:ascii="Cambria Math" w:hAnsi="Cambria Math" w:cs="Calibri"/>
          <w:sz w:val="24"/>
          <w:lang w:eastAsia="pl-PL"/>
        </w:rPr>
        <w:t xml:space="preserve"> domieszką </w:t>
      </w:r>
      <w:r w:rsidRPr="0087026E">
        <w:rPr>
          <w:rFonts w:ascii="Cambria Math" w:hAnsi="Cambria Math" w:cs="Calibri"/>
          <w:sz w:val="24"/>
          <w:lang w:eastAsia="pl-PL"/>
        </w:rPr>
        <w:t>buka, jodły, brzozy, dębu, osiki i modrzewia.</w:t>
      </w:r>
    </w:p>
    <w:p w:rsidR="004A4C8F" w:rsidRDefault="004A4C8F" w:rsidP="004A4C8F">
      <w:pPr>
        <w:autoSpaceDE w:val="0"/>
        <w:autoSpaceDN w:val="0"/>
        <w:adjustRightInd w:val="0"/>
        <w:spacing w:after="0" w:line="360" w:lineRule="auto"/>
        <w:rPr>
          <w:rFonts w:ascii="Cambria Math" w:hAnsi="Cambria Math" w:cs="Calibri"/>
          <w:sz w:val="24"/>
          <w:lang w:eastAsia="pl-PL"/>
        </w:rPr>
      </w:pPr>
    </w:p>
    <w:p w:rsidR="004A4C8F" w:rsidRPr="00353A52" w:rsidRDefault="004A4C8F" w:rsidP="004A4C8F">
      <w:pPr>
        <w:autoSpaceDE w:val="0"/>
        <w:autoSpaceDN w:val="0"/>
        <w:adjustRightInd w:val="0"/>
        <w:spacing w:after="0" w:line="360" w:lineRule="auto"/>
        <w:rPr>
          <w:rFonts w:cs="Calibri"/>
          <w:b/>
          <w:lang w:eastAsia="pl-PL"/>
        </w:rPr>
      </w:pPr>
      <w:r w:rsidRPr="00353A52">
        <w:rPr>
          <w:rFonts w:cs="Calibri"/>
          <w:b/>
          <w:lang w:eastAsia="pl-PL"/>
        </w:rPr>
        <w:t>Suchedniowsko-Oblęgorski Obszar Chronionego Krajobrazu (</w:t>
      </w:r>
      <w:proofErr w:type="spellStart"/>
      <w:r w:rsidRPr="00353A52">
        <w:rPr>
          <w:rFonts w:cs="Calibri"/>
          <w:b/>
          <w:lang w:eastAsia="pl-PL"/>
        </w:rPr>
        <w:t>S-OOChK</w:t>
      </w:r>
      <w:proofErr w:type="spellEnd"/>
      <w:r w:rsidRPr="00353A52">
        <w:rPr>
          <w:rFonts w:cs="Calibri"/>
          <w:b/>
          <w:lang w:eastAsia="pl-PL"/>
        </w:rPr>
        <w:t>)</w:t>
      </w:r>
    </w:p>
    <w:p w:rsidR="004A4C8F" w:rsidRPr="0087026E" w:rsidRDefault="004A4C8F" w:rsidP="004A4C8F">
      <w:pPr>
        <w:autoSpaceDE w:val="0"/>
        <w:autoSpaceDN w:val="0"/>
        <w:adjustRightInd w:val="0"/>
        <w:spacing w:after="0" w:line="360" w:lineRule="auto"/>
        <w:rPr>
          <w:rFonts w:ascii="Cambria Math" w:hAnsi="Cambria Math" w:cs="Calibri"/>
          <w:sz w:val="24"/>
          <w:lang w:eastAsia="pl-PL"/>
        </w:rPr>
      </w:pPr>
      <w:r w:rsidRPr="0087026E">
        <w:rPr>
          <w:rFonts w:ascii="Cambria Math" w:hAnsi="Cambria Math" w:cs="Calibri"/>
          <w:sz w:val="24"/>
          <w:lang w:eastAsia="pl-PL"/>
        </w:rPr>
        <w:t>Obszar położony jest w całości na terenie otuliny Su</w:t>
      </w:r>
      <w:r>
        <w:rPr>
          <w:rFonts w:ascii="Cambria Math" w:hAnsi="Cambria Math" w:cs="Calibri"/>
          <w:sz w:val="24"/>
          <w:lang w:eastAsia="pl-PL"/>
        </w:rPr>
        <w:t xml:space="preserve">chedniowsko-Oblęgorskiego Parku </w:t>
      </w:r>
      <w:r w:rsidRPr="0087026E">
        <w:rPr>
          <w:rFonts w:ascii="Cambria Math" w:hAnsi="Cambria Math" w:cs="Calibri"/>
          <w:sz w:val="24"/>
          <w:lang w:eastAsia="pl-PL"/>
        </w:rPr>
        <w:t xml:space="preserve">Krajobrazowego. Ma całkowitą powierzchnię 25 681 ha. Na </w:t>
      </w:r>
      <w:r>
        <w:rPr>
          <w:rFonts w:ascii="Cambria Math" w:hAnsi="Cambria Math" w:cs="Calibri"/>
          <w:sz w:val="24"/>
          <w:lang w:eastAsia="pl-PL"/>
        </w:rPr>
        <w:t xml:space="preserve">terenie gminy Strawczyn zajmuje </w:t>
      </w:r>
      <w:r w:rsidRPr="0087026E">
        <w:rPr>
          <w:rFonts w:ascii="Cambria Math" w:hAnsi="Cambria Math" w:cs="Calibri"/>
          <w:sz w:val="24"/>
          <w:lang w:eastAsia="pl-PL"/>
        </w:rPr>
        <w:t>powierzchnię 4687 ha.</w:t>
      </w:r>
    </w:p>
    <w:p w:rsidR="004A4C8F" w:rsidRDefault="004A4C8F" w:rsidP="004A4C8F">
      <w:pPr>
        <w:autoSpaceDE w:val="0"/>
        <w:autoSpaceDN w:val="0"/>
        <w:adjustRightInd w:val="0"/>
        <w:spacing w:after="0" w:line="360" w:lineRule="auto"/>
        <w:rPr>
          <w:rFonts w:ascii="Cambria Math" w:hAnsi="Cambria Math" w:cs="Calibri"/>
          <w:sz w:val="24"/>
          <w:lang w:eastAsia="pl-PL"/>
        </w:rPr>
      </w:pPr>
      <w:r w:rsidRPr="0087026E">
        <w:rPr>
          <w:rFonts w:ascii="Cambria Math" w:hAnsi="Cambria Math" w:cs="Calibri"/>
          <w:sz w:val="24"/>
          <w:lang w:eastAsia="pl-PL"/>
        </w:rPr>
        <w:t>Na obszarze tym występują wyjątkowo liczne o unikalnym w skali kraju znaczeniu</w:t>
      </w:r>
      <w:r>
        <w:rPr>
          <w:rFonts w:ascii="Cambria Math" w:hAnsi="Cambria Math" w:cs="Calibri"/>
          <w:sz w:val="24"/>
          <w:lang w:eastAsia="pl-PL"/>
        </w:rPr>
        <w:t xml:space="preserve"> naukowym, </w:t>
      </w:r>
      <w:r w:rsidRPr="0087026E">
        <w:rPr>
          <w:rFonts w:ascii="Cambria Math" w:hAnsi="Cambria Math" w:cs="Calibri"/>
          <w:sz w:val="24"/>
          <w:lang w:eastAsia="pl-PL"/>
        </w:rPr>
        <w:t xml:space="preserve">kulturowym i krajoznawczym, zespoły zabytków techniki przemysłu metalurgicznego i </w:t>
      </w:r>
      <w:proofErr w:type="spellStart"/>
      <w:r w:rsidRPr="0087026E">
        <w:rPr>
          <w:rFonts w:ascii="Cambria Math" w:hAnsi="Cambria Math" w:cs="Calibri"/>
          <w:sz w:val="24"/>
          <w:lang w:eastAsia="pl-PL"/>
        </w:rPr>
        <w:t>urządzeńhydrotechnicznych</w:t>
      </w:r>
      <w:proofErr w:type="spellEnd"/>
      <w:r w:rsidRPr="0087026E">
        <w:rPr>
          <w:rFonts w:ascii="Cambria Math" w:hAnsi="Cambria Math" w:cs="Calibri"/>
          <w:sz w:val="24"/>
          <w:lang w:eastAsia="pl-PL"/>
        </w:rPr>
        <w:t xml:space="preserve">, położone nad rzekami Bobrza, Kamionka i Łośna. Na terenach nieleśnych </w:t>
      </w:r>
      <w:proofErr w:type="spellStart"/>
      <w:r w:rsidRPr="0087026E">
        <w:rPr>
          <w:rFonts w:ascii="Cambria Math" w:hAnsi="Cambria Math" w:cs="Calibri"/>
          <w:sz w:val="24"/>
          <w:lang w:eastAsia="pl-PL"/>
        </w:rPr>
        <w:t>Obszaruszata</w:t>
      </w:r>
      <w:proofErr w:type="spellEnd"/>
      <w:r w:rsidRPr="0087026E">
        <w:rPr>
          <w:rFonts w:ascii="Cambria Math" w:hAnsi="Cambria Math" w:cs="Calibri"/>
          <w:sz w:val="24"/>
          <w:lang w:eastAsia="pl-PL"/>
        </w:rPr>
        <w:t xml:space="preserve"> roślinna reprezentowana jest przez zbiorowiska muraw i łąk, w tym m.in.: </w:t>
      </w:r>
      <w:proofErr w:type="spellStart"/>
      <w:r w:rsidRPr="0087026E">
        <w:rPr>
          <w:rFonts w:ascii="Cambria Math" w:hAnsi="Cambria Math" w:cs="Calibri"/>
          <w:sz w:val="24"/>
          <w:lang w:eastAsia="pl-PL"/>
        </w:rPr>
        <w:t>murawykserotermiczne</w:t>
      </w:r>
      <w:proofErr w:type="spellEnd"/>
      <w:r w:rsidRPr="0087026E">
        <w:rPr>
          <w:rFonts w:ascii="Cambria Math" w:hAnsi="Cambria Math" w:cs="Calibri"/>
          <w:sz w:val="24"/>
          <w:lang w:eastAsia="pl-PL"/>
        </w:rPr>
        <w:t xml:space="preserve">, murawy piaszczyste, żyzne łąki kośne, łąki turzycowe, łąki mokre, </w:t>
      </w:r>
      <w:proofErr w:type="spellStart"/>
      <w:r w:rsidRPr="0087026E">
        <w:rPr>
          <w:rFonts w:ascii="Cambria Math" w:hAnsi="Cambria Math" w:cs="Calibri"/>
          <w:sz w:val="24"/>
          <w:lang w:eastAsia="pl-PL"/>
        </w:rPr>
        <w:t>zbiorowiskaziołorośli</w:t>
      </w:r>
      <w:proofErr w:type="spellEnd"/>
      <w:r w:rsidRPr="0087026E">
        <w:rPr>
          <w:rFonts w:ascii="Cambria Math" w:hAnsi="Cambria Math" w:cs="Calibri"/>
          <w:sz w:val="24"/>
          <w:lang w:eastAsia="pl-PL"/>
        </w:rPr>
        <w:t xml:space="preserve">. Cały obszar znaczony jest licznymi pomnikami, mogiłami i </w:t>
      </w:r>
      <w:r>
        <w:rPr>
          <w:rFonts w:ascii="Cambria Math" w:hAnsi="Cambria Math" w:cs="Calibri"/>
          <w:sz w:val="24"/>
          <w:lang w:eastAsia="pl-PL"/>
        </w:rPr>
        <w:t xml:space="preserve">izbami pamięci upamiętniającymi </w:t>
      </w:r>
      <w:r w:rsidRPr="0087026E">
        <w:rPr>
          <w:rFonts w:ascii="Cambria Math" w:hAnsi="Cambria Math" w:cs="Calibri"/>
          <w:sz w:val="24"/>
          <w:lang w:eastAsia="pl-PL"/>
        </w:rPr>
        <w:t>walki o wyzwolenie narodowe.</w:t>
      </w:r>
    </w:p>
    <w:p w:rsidR="004A4C8F" w:rsidRDefault="004A4C8F" w:rsidP="004A4C8F">
      <w:pPr>
        <w:autoSpaceDE w:val="0"/>
        <w:autoSpaceDN w:val="0"/>
        <w:adjustRightInd w:val="0"/>
        <w:spacing w:after="0" w:line="360" w:lineRule="auto"/>
        <w:rPr>
          <w:rFonts w:ascii="Cambria Math" w:hAnsi="Cambria Math" w:cs="Calibri"/>
          <w:b/>
          <w:sz w:val="24"/>
          <w:lang w:eastAsia="pl-PL"/>
        </w:rPr>
      </w:pPr>
    </w:p>
    <w:p w:rsidR="004A4C8F" w:rsidRPr="00353A52" w:rsidRDefault="004A4C8F" w:rsidP="004A4C8F">
      <w:pPr>
        <w:autoSpaceDE w:val="0"/>
        <w:autoSpaceDN w:val="0"/>
        <w:adjustRightInd w:val="0"/>
        <w:spacing w:after="0" w:line="360" w:lineRule="auto"/>
        <w:rPr>
          <w:rFonts w:cs="Calibri"/>
          <w:b/>
          <w:lang w:eastAsia="pl-PL"/>
        </w:rPr>
      </w:pPr>
      <w:r w:rsidRPr="00353A52">
        <w:rPr>
          <w:rFonts w:cs="Calibri"/>
          <w:b/>
          <w:lang w:eastAsia="pl-PL"/>
        </w:rPr>
        <w:t>Konecko-Łopuszański Obszar Chronionego Krajobrazu (</w:t>
      </w:r>
      <w:proofErr w:type="spellStart"/>
      <w:r w:rsidRPr="00353A52">
        <w:rPr>
          <w:rFonts w:cs="Calibri"/>
          <w:b/>
          <w:lang w:eastAsia="pl-PL"/>
        </w:rPr>
        <w:t>K-ŁOChK</w:t>
      </w:r>
      <w:proofErr w:type="spellEnd"/>
      <w:r w:rsidRPr="00353A52">
        <w:rPr>
          <w:rFonts w:cs="Calibri"/>
          <w:b/>
          <w:lang w:eastAsia="pl-PL"/>
        </w:rPr>
        <w:t>)</w:t>
      </w:r>
    </w:p>
    <w:p w:rsidR="004A4C8F" w:rsidRDefault="004A4C8F" w:rsidP="004A4C8F">
      <w:pPr>
        <w:autoSpaceDE w:val="0"/>
        <w:autoSpaceDN w:val="0"/>
        <w:adjustRightInd w:val="0"/>
        <w:spacing w:after="0" w:line="360" w:lineRule="auto"/>
        <w:rPr>
          <w:rFonts w:ascii="Cambria Math" w:hAnsi="Cambria Math" w:cs="Calibri"/>
          <w:sz w:val="24"/>
          <w:lang w:eastAsia="pl-PL"/>
        </w:rPr>
      </w:pPr>
      <w:r w:rsidRPr="00C61738">
        <w:rPr>
          <w:rFonts w:ascii="Cambria Math" w:hAnsi="Cambria Math" w:cs="Calibri"/>
          <w:sz w:val="24"/>
          <w:lang w:eastAsia="pl-PL"/>
        </w:rPr>
        <w:t>Zajmuje powierzchnię 98 359 ha. Ok. 50% powierzchni zajmują duż</w:t>
      </w:r>
      <w:r w:rsidR="006123F5">
        <w:rPr>
          <w:rFonts w:ascii="Cambria Math" w:hAnsi="Cambria Math" w:cs="Calibri"/>
          <w:sz w:val="24"/>
          <w:lang w:eastAsia="pl-PL"/>
        </w:rPr>
        <w:t xml:space="preserve">e kompleksy leśne </w:t>
      </w:r>
      <w:r>
        <w:rPr>
          <w:rFonts w:ascii="Cambria Math" w:hAnsi="Cambria Math" w:cs="Calibri"/>
          <w:sz w:val="24"/>
          <w:lang w:eastAsia="pl-PL"/>
        </w:rPr>
        <w:t xml:space="preserve">o charakterze </w:t>
      </w:r>
      <w:r w:rsidRPr="00C61738">
        <w:rPr>
          <w:rFonts w:ascii="Cambria Math" w:hAnsi="Cambria Math" w:cs="Calibri"/>
          <w:sz w:val="24"/>
          <w:lang w:eastAsia="pl-PL"/>
        </w:rPr>
        <w:t>naturalnym, reprezentowane przez wielogatunkowe drzewostany z przewagą jo</w:t>
      </w:r>
      <w:r>
        <w:rPr>
          <w:rFonts w:ascii="Cambria Math" w:hAnsi="Cambria Math" w:cs="Calibri"/>
          <w:sz w:val="24"/>
          <w:lang w:eastAsia="pl-PL"/>
        </w:rPr>
        <w:t xml:space="preserve">dły i sosny, z </w:t>
      </w:r>
      <w:r w:rsidRPr="00C61738">
        <w:rPr>
          <w:rFonts w:ascii="Cambria Math" w:hAnsi="Cambria Math" w:cs="Calibri"/>
          <w:sz w:val="24"/>
          <w:lang w:eastAsia="pl-PL"/>
        </w:rPr>
        <w:t xml:space="preserve">domieszką dębu i świerka, buka i grabu. W środkowej i </w:t>
      </w:r>
      <w:r w:rsidRPr="00C61738">
        <w:rPr>
          <w:rFonts w:ascii="Cambria Math" w:hAnsi="Cambria Math" w:cs="Calibri"/>
          <w:sz w:val="24"/>
          <w:lang w:eastAsia="pl-PL"/>
        </w:rPr>
        <w:lastRenderedPageBreak/>
        <w:t>południowej częś</w:t>
      </w:r>
      <w:r>
        <w:rPr>
          <w:rFonts w:ascii="Cambria Math" w:hAnsi="Cambria Math" w:cs="Calibri"/>
          <w:sz w:val="24"/>
          <w:lang w:eastAsia="pl-PL"/>
        </w:rPr>
        <w:t xml:space="preserve">ci występują łąki wilgotne oraz </w:t>
      </w:r>
      <w:r w:rsidRPr="00C61738">
        <w:rPr>
          <w:rFonts w:ascii="Cambria Math" w:hAnsi="Cambria Math" w:cs="Calibri"/>
          <w:sz w:val="24"/>
          <w:lang w:eastAsia="pl-PL"/>
        </w:rPr>
        <w:t>duże obszary torfowisk niskich i przejściowych. Rosną tu m.in. takie gatu</w:t>
      </w:r>
      <w:r>
        <w:rPr>
          <w:rFonts w:ascii="Cambria Math" w:hAnsi="Cambria Math" w:cs="Calibri"/>
          <w:sz w:val="24"/>
          <w:lang w:eastAsia="pl-PL"/>
        </w:rPr>
        <w:t xml:space="preserve">nki, jak: wawrzynek </w:t>
      </w:r>
      <w:proofErr w:type="spellStart"/>
      <w:r>
        <w:rPr>
          <w:rFonts w:ascii="Cambria Math" w:hAnsi="Cambria Math" w:cs="Calibri"/>
          <w:sz w:val="24"/>
          <w:lang w:eastAsia="pl-PL"/>
        </w:rPr>
        <w:t>wilczełyko</w:t>
      </w:r>
      <w:proofErr w:type="spellEnd"/>
      <w:r>
        <w:rPr>
          <w:rFonts w:ascii="Cambria Math" w:hAnsi="Cambria Math" w:cs="Calibri"/>
          <w:sz w:val="24"/>
          <w:lang w:eastAsia="pl-PL"/>
        </w:rPr>
        <w:t xml:space="preserve">, </w:t>
      </w:r>
      <w:r w:rsidRPr="00C61738">
        <w:rPr>
          <w:rFonts w:ascii="Cambria Math" w:hAnsi="Cambria Math" w:cs="Calibri"/>
          <w:sz w:val="24"/>
          <w:lang w:eastAsia="pl-PL"/>
        </w:rPr>
        <w:t>wielosił błękitny, zawilec wielokwiatowy, pełnik europejski,</w:t>
      </w:r>
      <w:r>
        <w:rPr>
          <w:rFonts w:ascii="Cambria Math" w:hAnsi="Cambria Math" w:cs="Calibri"/>
          <w:sz w:val="24"/>
          <w:lang w:eastAsia="pl-PL"/>
        </w:rPr>
        <w:t xml:space="preserve"> pomocnik baldaszkowy, gęsiówka </w:t>
      </w:r>
      <w:proofErr w:type="spellStart"/>
      <w:r>
        <w:rPr>
          <w:rFonts w:ascii="Cambria Math" w:hAnsi="Cambria Math" w:cs="Calibri"/>
          <w:sz w:val="24"/>
          <w:lang w:eastAsia="pl-PL"/>
        </w:rPr>
        <w:t>szorst</w:t>
      </w:r>
      <w:r w:rsidRPr="00C61738">
        <w:rPr>
          <w:rFonts w:ascii="Cambria Math" w:hAnsi="Cambria Math" w:cs="Calibri"/>
          <w:sz w:val="24"/>
          <w:lang w:eastAsia="pl-PL"/>
        </w:rPr>
        <w:t>owłosista</w:t>
      </w:r>
      <w:proofErr w:type="spellEnd"/>
      <w:r w:rsidRPr="00C61738">
        <w:rPr>
          <w:rFonts w:ascii="Cambria Math" w:hAnsi="Cambria Math" w:cs="Calibri"/>
          <w:sz w:val="24"/>
          <w:lang w:eastAsia="pl-PL"/>
        </w:rPr>
        <w:t>. Faunę reprezentuje głównie zwierzyna łowna: dzik, sarna, jeleń</w:t>
      </w:r>
      <w:r w:rsidR="006123F5">
        <w:rPr>
          <w:rFonts w:ascii="Cambria Math" w:hAnsi="Cambria Math" w:cs="Calibri"/>
          <w:sz w:val="24"/>
          <w:lang w:eastAsia="pl-PL"/>
        </w:rPr>
        <w:t xml:space="preserve">, </w:t>
      </w:r>
      <w:r>
        <w:rPr>
          <w:rFonts w:ascii="Cambria Math" w:hAnsi="Cambria Math" w:cs="Calibri"/>
          <w:sz w:val="24"/>
          <w:lang w:eastAsia="pl-PL"/>
        </w:rPr>
        <w:t xml:space="preserve">a ptactwo: bocian </w:t>
      </w:r>
      <w:r w:rsidRPr="00C61738">
        <w:rPr>
          <w:rFonts w:ascii="Cambria Math" w:hAnsi="Cambria Math" w:cs="Calibri"/>
          <w:sz w:val="24"/>
          <w:lang w:eastAsia="pl-PL"/>
        </w:rPr>
        <w:t>czarny i łabędź niemy.</w:t>
      </w:r>
    </w:p>
    <w:p w:rsidR="004A4C8F" w:rsidRDefault="004A4C8F" w:rsidP="004A4C8F">
      <w:pPr>
        <w:autoSpaceDE w:val="0"/>
        <w:autoSpaceDN w:val="0"/>
        <w:adjustRightInd w:val="0"/>
        <w:spacing w:after="0" w:line="360" w:lineRule="auto"/>
        <w:rPr>
          <w:rFonts w:ascii="Cambria Math" w:hAnsi="Cambria Math" w:cs="Calibri"/>
          <w:sz w:val="24"/>
          <w:lang w:eastAsia="pl-PL"/>
        </w:rPr>
      </w:pPr>
    </w:p>
    <w:p w:rsidR="004A4C8F" w:rsidRPr="00353A52" w:rsidRDefault="004A4C8F" w:rsidP="004A4C8F">
      <w:pPr>
        <w:autoSpaceDE w:val="0"/>
        <w:autoSpaceDN w:val="0"/>
        <w:adjustRightInd w:val="0"/>
        <w:spacing w:after="0" w:line="360" w:lineRule="auto"/>
        <w:rPr>
          <w:rFonts w:cs="Calibri"/>
          <w:b/>
          <w:lang w:eastAsia="pl-PL"/>
        </w:rPr>
      </w:pPr>
      <w:r w:rsidRPr="00353A52">
        <w:rPr>
          <w:rFonts w:cs="Calibri"/>
          <w:b/>
          <w:lang w:eastAsia="pl-PL"/>
        </w:rPr>
        <w:t>Obszary NATURA 2000</w:t>
      </w:r>
    </w:p>
    <w:p w:rsidR="004A4C8F" w:rsidRPr="00353A52" w:rsidRDefault="004A4C8F" w:rsidP="00775439">
      <w:pPr>
        <w:pStyle w:val="Akapitzlist"/>
        <w:numPr>
          <w:ilvl w:val="0"/>
          <w:numId w:val="31"/>
        </w:numPr>
        <w:autoSpaceDE w:val="0"/>
        <w:autoSpaceDN w:val="0"/>
        <w:adjustRightInd w:val="0"/>
        <w:spacing w:before="0" w:after="0"/>
        <w:rPr>
          <w:rFonts w:ascii="Georgia" w:hAnsi="Georgia" w:cs="Calibri"/>
          <w:b/>
          <w:lang w:eastAsia="pl-PL"/>
        </w:rPr>
      </w:pPr>
      <w:r w:rsidRPr="00353A52">
        <w:rPr>
          <w:rFonts w:ascii="Georgia" w:hAnsi="Georgia" w:cs="Calibri"/>
          <w:b/>
          <w:lang w:eastAsia="pl-PL"/>
        </w:rPr>
        <w:t>Obszar Ochrony Lasy Suchedniowskie (kod PLH260010)</w:t>
      </w:r>
    </w:p>
    <w:p w:rsidR="004A4C8F" w:rsidRPr="00C61738" w:rsidRDefault="004A4C8F" w:rsidP="004A4C8F">
      <w:pPr>
        <w:autoSpaceDE w:val="0"/>
        <w:autoSpaceDN w:val="0"/>
        <w:adjustRightInd w:val="0"/>
        <w:spacing w:after="0" w:line="360" w:lineRule="auto"/>
        <w:rPr>
          <w:rFonts w:ascii="Cambria Math" w:hAnsi="Cambria Math" w:cs="Calibri"/>
          <w:sz w:val="24"/>
          <w:lang w:eastAsia="pl-PL"/>
        </w:rPr>
      </w:pPr>
      <w:r w:rsidRPr="00C61738">
        <w:rPr>
          <w:rFonts w:ascii="Cambria Math" w:hAnsi="Cambria Math" w:cs="Calibri"/>
          <w:sz w:val="24"/>
          <w:lang w:eastAsia="pl-PL"/>
        </w:rPr>
        <w:t>W ramach sieci Natura 2000 utworzono Specjalny Obszar Ochron</w:t>
      </w:r>
      <w:r>
        <w:rPr>
          <w:rFonts w:ascii="Cambria Math" w:hAnsi="Cambria Math" w:cs="Calibri"/>
          <w:sz w:val="24"/>
          <w:lang w:eastAsia="pl-PL"/>
        </w:rPr>
        <w:t xml:space="preserve">y (SOO) – Lasy Suchedniowskie o </w:t>
      </w:r>
      <w:r w:rsidRPr="00C61738">
        <w:rPr>
          <w:rFonts w:ascii="Cambria Math" w:hAnsi="Cambria Math" w:cs="Calibri"/>
          <w:sz w:val="24"/>
          <w:lang w:eastAsia="pl-PL"/>
        </w:rPr>
        <w:t>powierzchni 19120,89 ha (kod PLH260010), w którego obrębie leży g</w:t>
      </w:r>
      <w:r>
        <w:rPr>
          <w:rFonts w:ascii="Cambria Math" w:hAnsi="Cambria Math" w:cs="Calibri"/>
          <w:sz w:val="24"/>
          <w:lang w:eastAsia="pl-PL"/>
        </w:rPr>
        <w:t xml:space="preserve">mina Strawczyn. Obszar obejmuje </w:t>
      </w:r>
      <w:r w:rsidRPr="00C61738">
        <w:rPr>
          <w:rFonts w:ascii="Cambria Math" w:hAnsi="Cambria Math" w:cs="Calibri"/>
          <w:sz w:val="24"/>
          <w:lang w:eastAsia="pl-PL"/>
        </w:rPr>
        <w:t>dwa pasma wzniesień - Płaskowyż</w:t>
      </w:r>
      <w:r w:rsidR="00353A52">
        <w:rPr>
          <w:rFonts w:ascii="Cambria Math" w:hAnsi="Cambria Math" w:cs="Calibri"/>
          <w:sz w:val="24"/>
          <w:lang w:eastAsia="pl-PL"/>
        </w:rPr>
        <w:t xml:space="preserve"> Suchedniowski </w:t>
      </w:r>
      <w:r>
        <w:rPr>
          <w:rFonts w:ascii="Cambria Math" w:hAnsi="Cambria Math" w:cs="Calibri"/>
          <w:sz w:val="24"/>
          <w:lang w:eastAsia="pl-PL"/>
        </w:rPr>
        <w:t xml:space="preserve">i Wzgórza </w:t>
      </w:r>
      <w:proofErr w:type="spellStart"/>
      <w:r>
        <w:rPr>
          <w:rFonts w:ascii="Cambria Math" w:hAnsi="Cambria Math" w:cs="Calibri"/>
          <w:sz w:val="24"/>
          <w:lang w:eastAsia="pl-PL"/>
        </w:rPr>
        <w:t>Kołomańskie</w:t>
      </w:r>
      <w:proofErr w:type="spellEnd"/>
      <w:r>
        <w:rPr>
          <w:rFonts w:ascii="Cambria Math" w:hAnsi="Cambria Math" w:cs="Calibri"/>
          <w:sz w:val="24"/>
          <w:lang w:eastAsia="pl-PL"/>
        </w:rPr>
        <w:t xml:space="preserve">. Zbudowane są one z </w:t>
      </w:r>
      <w:r w:rsidRPr="00C61738">
        <w:rPr>
          <w:rFonts w:ascii="Cambria Math" w:hAnsi="Cambria Math" w:cs="Calibri"/>
          <w:sz w:val="24"/>
          <w:lang w:eastAsia="pl-PL"/>
        </w:rPr>
        <w:t xml:space="preserve">piaskowców </w:t>
      </w:r>
      <w:proofErr w:type="spellStart"/>
      <w:r>
        <w:rPr>
          <w:rFonts w:ascii="Cambria Math" w:hAnsi="Cambria Math" w:cs="Calibri"/>
          <w:sz w:val="24"/>
          <w:lang w:eastAsia="pl-PL"/>
        </w:rPr>
        <w:t>dolnotriasowych</w:t>
      </w:r>
      <w:proofErr w:type="spellEnd"/>
      <w:r>
        <w:rPr>
          <w:rFonts w:ascii="Cambria Math" w:hAnsi="Cambria Math" w:cs="Calibri"/>
          <w:sz w:val="24"/>
          <w:lang w:eastAsia="pl-PL"/>
        </w:rPr>
        <w:t>, przykrytych plejstoceń</w:t>
      </w:r>
      <w:r w:rsidRPr="00C61738">
        <w:rPr>
          <w:rFonts w:ascii="Cambria Math" w:hAnsi="Cambria Math" w:cs="Calibri"/>
          <w:sz w:val="24"/>
          <w:lang w:eastAsia="pl-PL"/>
        </w:rPr>
        <w:t xml:space="preserve">skimi piaskami i glinami. Tylko </w:t>
      </w:r>
      <w:proofErr w:type="spellStart"/>
      <w:r w:rsidRPr="00C61738">
        <w:rPr>
          <w:rFonts w:ascii="Cambria Math" w:hAnsi="Cambria Math" w:cs="Calibri"/>
          <w:sz w:val="24"/>
          <w:lang w:eastAsia="pl-PL"/>
        </w:rPr>
        <w:t>napołudniowych</w:t>
      </w:r>
      <w:proofErr w:type="spellEnd"/>
      <w:r w:rsidRPr="00C61738">
        <w:rPr>
          <w:rFonts w:ascii="Cambria Math" w:hAnsi="Cambria Math" w:cs="Calibri"/>
          <w:sz w:val="24"/>
          <w:lang w:eastAsia="pl-PL"/>
        </w:rPr>
        <w:t xml:space="preserve"> stokach Pasma Oblęgorskiego występują lessy. Łagodne pagórki i wzgórza porośnięt</w:t>
      </w:r>
      <w:r>
        <w:rPr>
          <w:rFonts w:ascii="Cambria Math" w:hAnsi="Cambria Math" w:cs="Calibri"/>
          <w:sz w:val="24"/>
          <w:lang w:eastAsia="pl-PL"/>
        </w:rPr>
        <w:t xml:space="preserve">e są </w:t>
      </w:r>
      <w:r w:rsidRPr="00C61738">
        <w:rPr>
          <w:rFonts w:ascii="Cambria Math" w:hAnsi="Cambria Math" w:cs="Calibri"/>
          <w:sz w:val="24"/>
          <w:lang w:eastAsia="pl-PL"/>
        </w:rPr>
        <w:t>lasami, zajmującymi łącznie ponad 80% powierzchni ostoi. Są to przede wszystkim lasy mieszane i bory.</w:t>
      </w:r>
    </w:p>
    <w:p w:rsidR="002635D4" w:rsidRDefault="004A4C8F" w:rsidP="004A4C8F">
      <w:pPr>
        <w:autoSpaceDE w:val="0"/>
        <w:autoSpaceDN w:val="0"/>
        <w:adjustRightInd w:val="0"/>
        <w:spacing w:after="0" w:line="360" w:lineRule="auto"/>
        <w:rPr>
          <w:rFonts w:ascii="Cambria Math" w:hAnsi="Cambria Math" w:cs="Calibri"/>
          <w:sz w:val="24"/>
          <w:lang w:eastAsia="pl-PL"/>
        </w:rPr>
      </w:pPr>
      <w:r w:rsidRPr="00C61738">
        <w:rPr>
          <w:rFonts w:ascii="Cambria Math" w:hAnsi="Cambria Math" w:cs="Calibri"/>
          <w:sz w:val="24"/>
          <w:lang w:eastAsia="pl-PL"/>
        </w:rPr>
        <w:t>W obniżeniach terenu zachowały się torfowiska i wilgotne łąki. Mała li</w:t>
      </w:r>
      <w:r>
        <w:rPr>
          <w:rFonts w:ascii="Cambria Math" w:hAnsi="Cambria Math" w:cs="Calibri"/>
          <w:sz w:val="24"/>
          <w:lang w:eastAsia="pl-PL"/>
        </w:rPr>
        <w:t xml:space="preserve">czba osad spowodowała, że tylko </w:t>
      </w:r>
      <w:r w:rsidRPr="00C61738">
        <w:rPr>
          <w:rFonts w:ascii="Cambria Math" w:hAnsi="Cambria Math" w:cs="Calibri"/>
          <w:sz w:val="24"/>
          <w:lang w:eastAsia="pl-PL"/>
        </w:rPr>
        <w:t>ok. 8% terenu zajmują użytki rolne - łąki i pola uprawne. Na obs</w:t>
      </w:r>
      <w:r>
        <w:rPr>
          <w:rFonts w:ascii="Cambria Math" w:hAnsi="Cambria Math" w:cs="Calibri"/>
          <w:sz w:val="24"/>
          <w:lang w:eastAsia="pl-PL"/>
        </w:rPr>
        <w:t xml:space="preserve">zarze ostoi znajdują się tereny </w:t>
      </w:r>
      <w:r w:rsidRPr="00C61738">
        <w:rPr>
          <w:rFonts w:ascii="Cambria Math" w:hAnsi="Cambria Math" w:cs="Calibri"/>
          <w:sz w:val="24"/>
          <w:lang w:eastAsia="pl-PL"/>
        </w:rPr>
        <w:t>źródliskowe Krasnej, Bobrzy i Kamionki. Są tu również liczne zesp</w:t>
      </w:r>
      <w:r>
        <w:rPr>
          <w:rFonts w:ascii="Cambria Math" w:hAnsi="Cambria Math" w:cs="Calibri"/>
          <w:sz w:val="24"/>
          <w:lang w:eastAsia="pl-PL"/>
        </w:rPr>
        <w:t xml:space="preserve">oły zabytków techniki przemysłu metalurgicznego i urządzeń </w:t>
      </w:r>
      <w:r w:rsidRPr="00C61738">
        <w:rPr>
          <w:rFonts w:ascii="Cambria Math" w:hAnsi="Cambria Math" w:cs="Calibri"/>
          <w:sz w:val="24"/>
          <w:lang w:eastAsia="pl-PL"/>
        </w:rPr>
        <w:t xml:space="preserve">hydrotechnicznych. </w:t>
      </w:r>
      <w:r>
        <w:rPr>
          <w:rFonts w:ascii="Cambria Math" w:hAnsi="Cambria Math" w:cs="Calibri"/>
          <w:sz w:val="24"/>
          <w:lang w:eastAsia="pl-PL"/>
        </w:rPr>
        <w:br/>
      </w:r>
      <w:r w:rsidRPr="00C61738">
        <w:rPr>
          <w:rFonts w:ascii="Cambria Math" w:hAnsi="Cambria Math" w:cs="Calibri"/>
          <w:sz w:val="24"/>
          <w:lang w:eastAsia="pl-PL"/>
        </w:rPr>
        <w:t>W obszarze zident</w:t>
      </w:r>
      <w:r>
        <w:rPr>
          <w:rFonts w:ascii="Cambria Math" w:hAnsi="Cambria Math" w:cs="Calibri"/>
          <w:sz w:val="24"/>
          <w:lang w:eastAsia="pl-PL"/>
        </w:rPr>
        <w:t xml:space="preserve">yfikowano 9 rodzajów siedlisk z </w:t>
      </w:r>
      <w:r w:rsidRPr="00C61738">
        <w:rPr>
          <w:rFonts w:ascii="Cambria Math" w:hAnsi="Cambria Math" w:cs="Calibri"/>
          <w:sz w:val="24"/>
          <w:lang w:eastAsia="pl-PL"/>
        </w:rPr>
        <w:t>Załącznika I Dyrektywy Rady 92/43/EWG i 5 gatunków z Załącznika II te</w:t>
      </w:r>
      <w:r>
        <w:rPr>
          <w:rFonts w:ascii="Cambria Math" w:hAnsi="Cambria Math" w:cs="Calibri"/>
          <w:sz w:val="24"/>
          <w:lang w:eastAsia="pl-PL"/>
        </w:rPr>
        <w:t xml:space="preserve">j dyrektywy. Szczególnie bogata </w:t>
      </w:r>
      <w:r w:rsidRPr="00C61738">
        <w:rPr>
          <w:rFonts w:ascii="Cambria Math" w:hAnsi="Cambria Math" w:cs="Calibri"/>
          <w:sz w:val="24"/>
          <w:lang w:eastAsia="pl-PL"/>
        </w:rPr>
        <w:t>jest fauna bezkręgowców, z bardzo rzadkim obecnie w Polsce chrząsz</w:t>
      </w:r>
      <w:r>
        <w:rPr>
          <w:rFonts w:ascii="Cambria Math" w:hAnsi="Cambria Math" w:cs="Calibri"/>
          <w:sz w:val="24"/>
          <w:lang w:eastAsia="pl-PL"/>
        </w:rPr>
        <w:t xml:space="preserve">czem jelonkiem rogaczem. Dobrze </w:t>
      </w:r>
      <w:r w:rsidRPr="00C61738">
        <w:rPr>
          <w:rFonts w:ascii="Cambria Math" w:hAnsi="Cambria Math" w:cs="Calibri"/>
          <w:sz w:val="24"/>
          <w:lang w:eastAsia="pl-PL"/>
        </w:rPr>
        <w:t>zachowany starodrzew o naturalnym charakterze (14,5% drzewostanów w wiek</w:t>
      </w:r>
      <w:r>
        <w:rPr>
          <w:rFonts w:ascii="Cambria Math" w:hAnsi="Cambria Math" w:cs="Calibri"/>
          <w:sz w:val="24"/>
          <w:lang w:eastAsia="pl-PL"/>
        </w:rPr>
        <w:t xml:space="preserve">u powyżej 80 lat i 5,4% </w:t>
      </w:r>
      <w:r w:rsidRPr="00C61738">
        <w:rPr>
          <w:rFonts w:ascii="Cambria Math" w:hAnsi="Cambria Math" w:cs="Calibri"/>
          <w:sz w:val="24"/>
          <w:lang w:eastAsia="pl-PL"/>
        </w:rPr>
        <w:t xml:space="preserve">powyżej 100 lat). Główna ostoja modrzewia polskiego </w:t>
      </w:r>
      <w:proofErr w:type="spellStart"/>
      <w:r w:rsidRPr="00C61738">
        <w:rPr>
          <w:rFonts w:ascii="Cambria Math" w:hAnsi="Cambria Math" w:cs="Calibri"/>
          <w:sz w:val="24"/>
          <w:lang w:eastAsia="pl-PL"/>
        </w:rPr>
        <w:t>Larix</w:t>
      </w:r>
      <w:proofErr w:type="spellEnd"/>
      <w:r w:rsidRPr="00C61738">
        <w:rPr>
          <w:rFonts w:ascii="Cambria Math" w:hAnsi="Cambria Math" w:cs="Calibri"/>
          <w:sz w:val="24"/>
          <w:lang w:eastAsia="pl-PL"/>
        </w:rPr>
        <w:t xml:space="preserve"> polonica w </w:t>
      </w:r>
      <w:r>
        <w:rPr>
          <w:rFonts w:ascii="Cambria Math" w:hAnsi="Cambria Math" w:cs="Calibri"/>
          <w:sz w:val="24"/>
          <w:lang w:eastAsia="pl-PL"/>
        </w:rPr>
        <w:t xml:space="preserve">kraju (drzewa do ok. 40 m wys., </w:t>
      </w:r>
      <w:r w:rsidRPr="00C61738">
        <w:rPr>
          <w:rFonts w:ascii="Cambria Math" w:hAnsi="Cambria Math" w:cs="Calibri"/>
          <w:sz w:val="24"/>
          <w:lang w:eastAsia="pl-PL"/>
        </w:rPr>
        <w:t>w wieku ok. 300 lat i jodły ok. 40 m wys., w wieku ok. 200 lat). Bogata f</w:t>
      </w:r>
      <w:r>
        <w:rPr>
          <w:rFonts w:ascii="Cambria Math" w:hAnsi="Cambria Math" w:cs="Calibri"/>
          <w:sz w:val="24"/>
          <w:lang w:eastAsia="pl-PL"/>
        </w:rPr>
        <w:t xml:space="preserve">lora roślin naczyniowych, w tym </w:t>
      </w:r>
      <w:r w:rsidRPr="00C61738">
        <w:rPr>
          <w:rFonts w:ascii="Cambria Math" w:hAnsi="Cambria Math" w:cs="Calibri"/>
          <w:sz w:val="24"/>
          <w:lang w:eastAsia="pl-PL"/>
        </w:rPr>
        <w:t xml:space="preserve">16 gatunków z rodziny storczykowatych oraz wiele innych rzadkich </w:t>
      </w:r>
      <w:r>
        <w:rPr>
          <w:rFonts w:ascii="Cambria Math" w:hAnsi="Cambria Math" w:cs="Calibri"/>
          <w:sz w:val="24"/>
          <w:lang w:eastAsia="pl-PL"/>
        </w:rPr>
        <w:t xml:space="preserve">lub zagrożonych gatunków, w tym </w:t>
      </w:r>
      <w:r w:rsidRPr="00C61738">
        <w:rPr>
          <w:rFonts w:ascii="Cambria Math" w:hAnsi="Cambria Math" w:cs="Calibri"/>
          <w:sz w:val="24"/>
          <w:lang w:eastAsia="pl-PL"/>
        </w:rPr>
        <w:t>także prawnie chronione. Na terenie ostoi znajduje się ostoja ptasia o randze krajowej K069.</w:t>
      </w:r>
    </w:p>
    <w:p w:rsidR="004A4C8F" w:rsidRPr="00353A52" w:rsidRDefault="004A4C8F" w:rsidP="00775439">
      <w:pPr>
        <w:pStyle w:val="Akapitzlist"/>
        <w:numPr>
          <w:ilvl w:val="0"/>
          <w:numId w:val="31"/>
        </w:numPr>
        <w:autoSpaceDE w:val="0"/>
        <w:autoSpaceDN w:val="0"/>
        <w:adjustRightInd w:val="0"/>
        <w:spacing w:before="0" w:after="0"/>
        <w:rPr>
          <w:rFonts w:ascii="Georgia" w:hAnsi="Georgia" w:cs="Calibri"/>
          <w:b/>
          <w:lang w:eastAsia="pl-PL"/>
        </w:rPr>
      </w:pPr>
      <w:r w:rsidRPr="00353A52">
        <w:rPr>
          <w:rFonts w:ascii="Georgia" w:hAnsi="Georgia" w:cs="Calibri"/>
          <w:b/>
          <w:lang w:eastAsia="pl-PL"/>
        </w:rPr>
        <w:t xml:space="preserve">Obszar Ochrony Siedlisk Dolina Bobrzy (kod PLH260014) </w:t>
      </w:r>
    </w:p>
    <w:p w:rsidR="004A4C8F" w:rsidRPr="00C61738" w:rsidRDefault="004A4C8F" w:rsidP="004A4C8F">
      <w:pPr>
        <w:autoSpaceDE w:val="0"/>
        <w:autoSpaceDN w:val="0"/>
        <w:adjustRightInd w:val="0"/>
        <w:spacing w:after="0" w:line="360" w:lineRule="auto"/>
        <w:rPr>
          <w:rFonts w:ascii="Cambria Math" w:hAnsi="Cambria Math" w:cs="Calibri"/>
          <w:sz w:val="24"/>
          <w:lang w:eastAsia="pl-PL"/>
        </w:rPr>
      </w:pPr>
      <w:r>
        <w:rPr>
          <w:rFonts w:ascii="Cambria Math" w:hAnsi="Cambria Math" w:cs="Calibri"/>
          <w:sz w:val="24"/>
          <w:lang w:eastAsia="pl-PL"/>
        </w:rPr>
        <w:t xml:space="preserve">Obszar obejmuje dolinę rzeki Bobrzy, </w:t>
      </w:r>
      <w:r w:rsidRPr="00C61738">
        <w:rPr>
          <w:rFonts w:ascii="Cambria Math" w:hAnsi="Cambria Math" w:cs="Calibri"/>
          <w:sz w:val="24"/>
          <w:lang w:eastAsia="pl-PL"/>
        </w:rPr>
        <w:t>której fragment stanowi wschodnią granicę gminy. Powierzchnia ostoi wynosi 612,7 ha.</w:t>
      </w:r>
    </w:p>
    <w:p w:rsidR="004A4C8F" w:rsidRDefault="004A4C8F" w:rsidP="004A4C8F">
      <w:pPr>
        <w:autoSpaceDE w:val="0"/>
        <w:autoSpaceDN w:val="0"/>
        <w:adjustRightInd w:val="0"/>
        <w:spacing w:after="0" w:line="360" w:lineRule="auto"/>
        <w:rPr>
          <w:rFonts w:ascii="Cambria Math" w:hAnsi="Cambria Math" w:cs="Calibri"/>
          <w:sz w:val="24"/>
          <w:lang w:eastAsia="pl-PL"/>
        </w:rPr>
      </w:pPr>
      <w:r w:rsidRPr="00C61738">
        <w:rPr>
          <w:rFonts w:ascii="Cambria Math" w:hAnsi="Cambria Math" w:cs="Calibri"/>
          <w:sz w:val="24"/>
          <w:lang w:eastAsia="pl-PL"/>
        </w:rPr>
        <w:lastRenderedPageBreak/>
        <w:t>Obszar położony</w:t>
      </w:r>
      <w:r>
        <w:rPr>
          <w:rFonts w:ascii="Cambria Math" w:hAnsi="Cambria Math" w:cs="Calibri"/>
          <w:sz w:val="24"/>
          <w:lang w:eastAsia="pl-PL"/>
        </w:rPr>
        <w:t xml:space="preserve"> jest częściowo w granicy Chęciń</w:t>
      </w:r>
      <w:r w:rsidRPr="00C61738">
        <w:rPr>
          <w:rFonts w:ascii="Cambria Math" w:hAnsi="Cambria Math" w:cs="Calibri"/>
          <w:sz w:val="24"/>
          <w:lang w:eastAsia="pl-PL"/>
        </w:rPr>
        <w:t>sko-Kielec</w:t>
      </w:r>
      <w:r>
        <w:rPr>
          <w:rFonts w:ascii="Cambria Math" w:hAnsi="Cambria Math" w:cs="Calibri"/>
          <w:sz w:val="24"/>
          <w:lang w:eastAsia="pl-PL"/>
        </w:rPr>
        <w:t xml:space="preserve">kiego Parku Krajobrazowego oraz </w:t>
      </w:r>
      <w:r w:rsidRPr="00C61738">
        <w:rPr>
          <w:rFonts w:ascii="Cambria Math" w:hAnsi="Cambria Math" w:cs="Calibri"/>
          <w:sz w:val="24"/>
          <w:lang w:eastAsia="pl-PL"/>
        </w:rPr>
        <w:t xml:space="preserve">Kieleckiego Obszaru Chronionego </w:t>
      </w:r>
      <w:proofErr w:type="spellStart"/>
      <w:r w:rsidRPr="00C61738">
        <w:rPr>
          <w:rFonts w:ascii="Cambria Math" w:hAnsi="Cambria Math" w:cs="Calibri"/>
          <w:sz w:val="24"/>
          <w:lang w:eastAsia="pl-PL"/>
        </w:rPr>
        <w:t>Krajobrazu.</w:t>
      </w:r>
      <w:r w:rsidRPr="008361D8">
        <w:rPr>
          <w:rFonts w:ascii="Cambria Math" w:hAnsi="Cambria Math" w:cs="Calibri"/>
          <w:sz w:val="24"/>
          <w:lang w:eastAsia="pl-PL"/>
        </w:rPr>
        <w:t>Źródła</w:t>
      </w:r>
      <w:proofErr w:type="spellEnd"/>
      <w:r w:rsidRPr="008361D8">
        <w:rPr>
          <w:rFonts w:ascii="Cambria Math" w:hAnsi="Cambria Math" w:cs="Calibri"/>
          <w:sz w:val="24"/>
          <w:lang w:eastAsia="pl-PL"/>
        </w:rPr>
        <w:t xml:space="preserve"> Bobrzy znajdują się na północny-</w:t>
      </w:r>
      <w:r>
        <w:rPr>
          <w:rFonts w:ascii="Cambria Math" w:hAnsi="Cambria Math" w:cs="Calibri"/>
          <w:sz w:val="24"/>
          <w:lang w:eastAsia="pl-PL"/>
        </w:rPr>
        <w:t>wschód od Zagnań</w:t>
      </w:r>
      <w:r w:rsidRPr="008361D8">
        <w:rPr>
          <w:rFonts w:ascii="Cambria Math" w:hAnsi="Cambria Math" w:cs="Calibri"/>
          <w:sz w:val="24"/>
          <w:lang w:eastAsia="pl-PL"/>
        </w:rPr>
        <w:t xml:space="preserve">ska pod Występą na wysokości 370 </w:t>
      </w:r>
      <w:proofErr w:type="spellStart"/>
      <w:r w:rsidRPr="008361D8">
        <w:rPr>
          <w:rFonts w:ascii="Cambria Math" w:hAnsi="Cambria Math" w:cs="Calibri"/>
          <w:sz w:val="24"/>
          <w:lang w:eastAsia="pl-PL"/>
        </w:rPr>
        <w:t>mn.p.m</w:t>
      </w:r>
      <w:proofErr w:type="spellEnd"/>
      <w:r w:rsidRPr="008361D8">
        <w:rPr>
          <w:rFonts w:ascii="Cambria Math" w:hAnsi="Cambria Math" w:cs="Calibri"/>
          <w:sz w:val="24"/>
          <w:lang w:eastAsia="pl-PL"/>
        </w:rPr>
        <w:t>. Rzeka ta wraz ze swoimi dopływami odwadnia głównie półno</w:t>
      </w:r>
      <w:r>
        <w:rPr>
          <w:rFonts w:ascii="Cambria Math" w:hAnsi="Cambria Math" w:cs="Calibri"/>
          <w:sz w:val="24"/>
          <w:lang w:eastAsia="pl-PL"/>
        </w:rPr>
        <w:t xml:space="preserve">cne stoki Pasma Oblęgorskiego i </w:t>
      </w:r>
      <w:proofErr w:type="spellStart"/>
      <w:r>
        <w:rPr>
          <w:rFonts w:ascii="Cambria Math" w:hAnsi="Cambria Math" w:cs="Calibri"/>
          <w:sz w:val="24"/>
          <w:lang w:eastAsia="pl-PL"/>
        </w:rPr>
        <w:t>Tumliń</w:t>
      </w:r>
      <w:r w:rsidRPr="008361D8">
        <w:rPr>
          <w:rFonts w:ascii="Cambria Math" w:hAnsi="Cambria Math" w:cs="Calibri"/>
          <w:sz w:val="24"/>
          <w:lang w:eastAsia="pl-PL"/>
        </w:rPr>
        <w:t>skiego</w:t>
      </w:r>
      <w:proofErr w:type="spellEnd"/>
      <w:r w:rsidRPr="008361D8">
        <w:rPr>
          <w:rFonts w:ascii="Cambria Math" w:hAnsi="Cambria Math" w:cs="Calibri"/>
          <w:sz w:val="24"/>
          <w:lang w:eastAsia="pl-PL"/>
        </w:rPr>
        <w:t>. W okolicach Dobromyśla na wysokości 239 m n</w:t>
      </w:r>
      <w:r>
        <w:rPr>
          <w:rFonts w:ascii="Cambria Math" w:hAnsi="Cambria Math" w:cs="Calibri"/>
          <w:sz w:val="24"/>
          <w:lang w:eastAsia="pl-PL"/>
        </w:rPr>
        <w:t xml:space="preserve">.p.m. do Bobrzy uchodzą dwa jej </w:t>
      </w:r>
      <w:r w:rsidRPr="008361D8">
        <w:rPr>
          <w:rFonts w:ascii="Cambria Math" w:hAnsi="Cambria Math" w:cs="Calibri"/>
          <w:sz w:val="24"/>
          <w:lang w:eastAsia="pl-PL"/>
        </w:rPr>
        <w:t xml:space="preserve">największe prawostronne dopływy: </w:t>
      </w:r>
      <w:proofErr w:type="spellStart"/>
      <w:r w:rsidRPr="008361D8">
        <w:rPr>
          <w:rFonts w:ascii="Cambria Math" w:hAnsi="Cambria Math" w:cs="Calibri"/>
          <w:sz w:val="24"/>
          <w:lang w:eastAsia="pl-PL"/>
        </w:rPr>
        <w:t>Sufraganiec</w:t>
      </w:r>
      <w:proofErr w:type="spellEnd"/>
      <w:r w:rsidRPr="008361D8">
        <w:rPr>
          <w:rFonts w:ascii="Cambria Math" w:hAnsi="Cambria Math" w:cs="Calibri"/>
          <w:sz w:val="24"/>
          <w:lang w:eastAsia="pl-PL"/>
        </w:rPr>
        <w:t xml:space="preserve"> oraz Silnica. Rzeki</w:t>
      </w:r>
      <w:r>
        <w:rPr>
          <w:rFonts w:ascii="Cambria Math" w:hAnsi="Cambria Math" w:cs="Calibri"/>
          <w:sz w:val="24"/>
          <w:lang w:eastAsia="pl-PL"/>
        </w:rPr>
        <w:t xml:space="preserve"> te odwadniają południowe stoki Pasma </w:t>
      </w:r>
      <w:proofErr w:type="spellStart"/>
      <w:r>
        <w:rPr>
          <w:rFonts w:ascii="Cambria Math" w:hAnsi="Cambria Math" w:cs="Calibri"/>
          <w:sz w:val="24"/>
          <w:lang w:eastAsia="pl-PL"/>
        </w:rPr>
        <w:t>Tumliń</w:t>
      </w:r>
      <w:r w:rsidRPr="008361D8">
        <w:rPr>
          <w:rFonts w:ascii="Cambria Math" w:hAnsi="Cambria Math" w:cs="Calibri"/>
          <w:sz w:val="24"/>
          <w:lang w:eastAsia="pl-PL"/>
        </w:rPr>
        <w:t>skiego</w:t>
      </w:r>
      <w:proofErr w:type="spellEnd"/>
      <w:r w:rsidRPr="008361D8">
        <w:rPr>
          <w:rFonts w:ascii="Cambria Math" w:hAnsi="Cambria Math" w:cs="Calibri"/>
          <w:sz w:val="24"/>
          <w:lang w:eastAsia="pl-PL"/>
        </w:rPr>
        <w:t xml:space="preserve"> i Masłowskiego. W swoim dolnym biegu w okol</w:t>
      </w:r>
      <w:r>
        <w:rPr>
          <w:rFonts w:ascii="Cambria Math" w:hAnsi="Cambria Math" w:cs="Calibri"/>
          <w:sz w:val="24"/>
          <w:lang w:eastAsia="pl-PL"/>
        </w:rPr>
        <w:t xml:space="preserve">icy Oblęgorka Bobrza przełamuje </w:t>
      </w:r>
      <w:r w:rsidRPr="008361D8">
        <w:rPr>
          <w:rFonts w:ascii="Cambria Math" w:hAnsi="Cambria Math" w:cs="Calibri"/>
          <w:sz w:val="24"/>
          <w:lang w:eastAsia="pl-PL"/>
        </w:rPr>
        <w:t xml:space="preserve">się </w:t>
      </w:r>
      <w:r>
        <w:rPr>
          <w:rFonts w:ascii="Cambria Math" w:hAnsi="Cambria Math" w:cs="Calibri"/>
          <w:sz w:val="24"/>
          <w:lang w:eastAsia="pl-PL"/>
        </w:rPr>
        <w:t xml:space="preserve">przez Pasmo Oblęgorskie i </w:t>
      </w:r>
      <w:proofErr w:type="spellStart"/>
      <w:r>
        <w:rPr>
          <w:rFonts w:ascii="Cambria Math" w:hAnsi="Cambria Math" w:cs="Calibri"/>
          <w:sz w:val="24"/>
          <w:lang w:eastAsia="pl-PL"/>
        </w:rPr>
        <w:t>Tumliń</w:t>
      </w:r>
      <w:r w:rsidRPr="008361D8">
        <w:rPr>
          <w:rFonts w:ascii="Cambria Math" w:hAnsi="Cambria Math" w:cs="Calibri"/>
          <w:sz w:val="24"/>
          <w:lang w:eastAsia="pl-PL"/>
        </w:rPr>
        <w:t>skie,a</w:t>
      </w:r>
      <w:proofErr w:type="spellEnd"/>
      <w:r w:rsidRPr="008361D8">
        <w:rPr>
          <w:rFonts w:ascii="Cambria Math" w:hAnsi="Cambria Math" w:cs="Calibri"/>
          <w:sz w:val="24"/>
          <w:lang w:eastAsia="pl-PL"/>
        </w:rPr>
        <w:t xml:space="preserve"> koło Słowika przez Pasmo </w:t>
      </w:r>
      <w:proofErr w:type="spellStart"/>
      <w:r w:rsidRPr="008361D8">
        <w:rPr>
          <w:rFonts w:ascii="Cambria Math" w:hAnsi="Cambria Math" w:cs="Calibri"/>
          <w:sz w:val="24"/>
          <w:lang w:eastAsia="pl-PL"/>
        </w:rPr>
        <w:t>Zgórskie</w:t>
      </w:r>
      <w:proofErr w:type="spellEnd"/>
      <w:r w:rsidRPr="008361D8">
        <w:rPr>
          <w:rFonts w:ascii="Cambria Math" w:hAnsi="Cambria Math" w:cs="Calibri"/>
          <w:sz w:val="24"/>
          <w:lang w:eastAsia="pl-PL"/>
        </w:rPr>
        <w:t xml:space="preserve"> i </w:t>
      </w:r>
      <w:proofErr w:type="spellStart"/>
      <w:r w:rsidRPr="008361D8">
        <w:rPr>
          <w:rFonts w:ascii="Cambria Math" w:hAnsi="Cambria Math" w:cs="Calibri"/>
          <w:sz w:val="24"/>
          <w:lang w:eastAsia="pl-PL"/>
        </w:rPr>
        <w:t>Posłowi</w:t>
      </w:r>
      <w:r>
        <w:rPr>
          <w:rFonts w:ascii="Cambria Math" w:hAnsi="Cambria Math" w:cs="Calibri"/>
          <w:sz w:val="24"/>
          <w:lang w:eastAsia="pl-PL"/>
        </w:rPr>
        <w:t>ckie</w:t>
      </w:r>
      <w:proofErr w:type="spellEnd"/>
      <w:r>
        <w:rPr>
          <w:rFonts w:ascii="Cambria Math" w:hAnsi="Cambria Math" w:cs="Calibri"/>
          <w:sz w:val="24"/>
          <w:lang w:eastAsia="pl-PL"/>
        </w:rPr>
        <w:t xml:space="preserve">. Bobrza </w:t>
      </w:r>
      <w:r w:rsidRPr="008361D8">
        <w:rPr>
          <w:rFonts w:ascii="Cambria Math" w:hAnsi="Cambria Math" w:cs="Calibri"/>
          <w:sz w:val="24"/>
          <w:lang w:eastAsia="pl-PL"/>
        </w:rPr>
        <w:t>jest najdłuższym dopływem Czarnej Nidy, w znacznej mierze nosi</w:t>
      </w:r>
      <w:r>
        <w:rPr>
          <w:rFonts w:ascii="Cambria Math" w:hAnsi="Cambria Math" w:cs="Calibri"/>
          <w:sz w:val="24"/>
          <w:lang w:eastAsia="pl-PL"/>
        </w:rPr>
        <w:t xml:space="preserve"> ślady uregulowania, ale często </w:t>
      </w:r>
      <w:r w:rsidRPr="008361D8">
        <w:rPr>
          <w:rFonts w:ascii="Cambria Math" w:hAnsi="Cambria Math" w:cs="Calibri"/>
          <w:sz w:val="24"/>
          <w:lang w:eastAsia="pl-PL"/>
        </w:rPr>
        <w:t>meandrując tworzy malownicze starorzecza i rozlewiska.</w:t>
      </w:r>
    </w:p>
    <w:p w:rsidR="004A4C8F" w:rsidRPr="002E4E36" w:rsidRDefault="006123F5" w:rsidP="004A4C8F">
      <w:pPr>
        <w:autoSpaceDE w:val="0"/>
        <w:autoSpaceDN w:val="0"/>
        <w:adjustRightInd w:val="0"/>
        <w:spacing w:after="0" w:line="360" w:lineRule="auto"/>
        <w:rPr>
          <w:rFonts w:ascii="Cambria Math" w:hAnsi="Cambria Math" w:cs="Calibri"/>
          <w:sz w:val="24"/>
          <w:lang w:eastAsia="pl-PL"/>
        </w:rPr>
      </w:pPr>
      <w:r>
        <w:rPr>
          <w:rFonts w:ascii="Cambria Math" w:hAnsi="Cambria Math" w:cs="Calibri"/>
          <w:i/>
          <w:sz w:val="24"/>
          <w:lang w:eastAsia="pl-PL"/>
        </w:rPr>
        <w:t xml:space="preserve">Mapa </w:t>
      </w:r>
      <w:r w:rsidR="004A4C8F" w:rsidRPr="008F4791">
        <w:rPr>
          <w:rFonts w:ascii="Cambria Math" w:hAnsi="Cambria Math" w:cs="Calibri"/>
          <w:i/>
          <w:sz w:val="24"/>
          <w:lang w:eastAsia="pl-PL"/>
        </w:rPr>
        <w:t>3</w:t>
      </w:r>
      <w:r w:rsidR="004A4C8F">
        <w:rPr>
          <w:rFonts w:ascii="Cambria Math" w:hAnsi="Cambria Math" w:cs="Calibri"/>
          <w:sz w:val="24"/>
          <w:lang w:eastAsia="pl-PL"/>
        </w:rPr>
        <w:t xml:space="preserve"> przedstawia położenie SOO „Dolina Bobrzy” na terenie gminy Strawczyn.</w:t>
      </w:r>
    </w:p>
    <w:p w:rsidR="006123F5" w:rsidRDefault="004A4C8F" w:rsidP="006123F5">
      <w:pPr>
        <w:keepNext/>
        <w:jc w:val="center"/>
      </w:pPr>
      <w:r>
        <w:rPr>
          <w:rFonts w:asciiTheme="minorHAnsi" w:hAnsiTheme="minorHAnsi" w:cstheme="minorHAnsi"/>
          <w:noProof/>
          <w:color w:val="000000" w:themeColor="text1"/>
          <w:sz w:val="24"/>
          <w:szCs w:val="24"/>
          <w:lang w:eastAsia="pl-PL"/>
        </w:rPr>
        <w:drawing>
          <wp:inline distT="0" distB="0" distL="0" distR="0">
            <wp:extent cx="5056742" cy="3238958"/>
            <wp:effectExtent l="0" t="0" r="0"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64691" cy="3244050"/>
                    </a:xfrm>
                    <a:prstGeom prst="rect">
                      <a:avLst/>
                    </a:prstGeom>
                    <a:noFill/>
                    <a:ln>
                      <a:noFill/>
                    </a:ln>
                  </pic:spPr>
                </pic:pic>
              </a:graphicData>
            </a:graphic>
          </wp:inline>
        </w:drawing>
      </w:r>
    </w:p>
    <w:p w:rsidR="004A4C8F" w:rsidRPr="006123F5" w:rsidRDefault="006123F5" w:rsidP="00353A52">
      <w:pPr>
        <w:pStyle w:val="Legenda"/>
        <w:jc w:val="right"/>
        <w:rPr>
          <w:color w:val="auto"/>
        </w:rPr>
      </w:pPr>
      <w:bookmarkStart w:id="85" w:name="_Toc427675258"/>
      <w:r w:rsidRPr="006123F5">
        <w:rPr>
          <w:color w:val="auto"/>
        </w:rPr>
        <w:t xml:space="preserve">Mapa </w:t>
      </w:r>
      <w:r w:rsidR="00A93FFF" w:rsidRPr="006123F5">
        <w:rPr>
          <w:color w:val="auto"/>
        </w:rPr>
        <w:fldChar w:fldCharType="begin"/>
      </w:r>
      <w:r w:rsidRPr="006123F5">
        <w:rPr>
          <w:color w:val="auto"/>
        </w:rPr>
        <w:instrText xml:space="preserve"> SEQ Mapa \* ARABIC </w:instrText>
      </w:r>
      <w:r w:rsidR="00A93FFF" w:rsidRPr="006123F5">
        <w:rPr>
          <w:color w:val="auto"/>
        </w:rPr>
        <w:fldChar w:fldCharType="separate"/>
      </w:r>
      <w:r w:rsidR="00871648">
        <w:rPr>
          <w:noProof/>
          <w:color w:val="auto"/>
        </w:rPr>
        <w:t>3</w:t>
      </w:r>
      <w:r w:rsidR="00A93FFF" w:rsidRPr="006123F5">
        <w:rPr>
          <w:color w:val="auto"/>
        </w:rPr>
        <w:fldChar w:fldCharType="end"/>
      </w:r>
      <w:r w:rsidRPr="006123F5">
        <w:rPr>
          <w:color w:val="auto"/>
        </w:rPr>
        <w:t xml:space="preserve">. Położenie </w:t>
      </w:r>
      <w:proofErr w:type="spellStart"/>
      <w:r w:rsidRPr="006123F5">
        <w:rPr>
          <w:color w:val="auto"/>
        </w:rPr>
        <w:t>SOO"</w:t>
      </w:r>
      <w:bookmarkStart w:id="86" w:name="_GoBack"/>
      <w:bookmarkEnd w:id="86"/>
      <w:r w:rsidRPr="006123F5">
        <w:rPr>
          <w:color w:val="auto"/>
        </w:rPr>
        <w:t>Dolina</w:t>
      </w:r>
      <w:proofErr w:type="spellEnd"/>
      <w:r w:rsidRPr="006123F5">
        <w:rPr>
          <w:color w:val="auto"/>
        </w:rPr>
        <w:t xml:space="preserve"> Bobrzy" na terenie gminy Strawczyn.</w:t>
      </w:r>
      <w:bookmarkEnd w:id="85"/>
    </w:p>
    <w:p w:rsidR="004A4C8F" w:rsidRPr="006123F5" w:rsidRDefault="004A4C8F" w:rsidP="00353A52">
      <w:pPr>
        <w:jc w:val="right"/>
        <w:rPr>
          <w:rFonts w:ascii="Cambria Math" w:hAnsi="Cambria Math"/>
          <w:i/>
          <w:szCs w:val="24"/>
        </w:rPr>
      </w:pPr>
      <w:r w:rsidRPr="00E60CE4">
        <w:rPr>
          <w:rFonts w:ascii="Cambria Math" w:hAnsi="Cambria Math"/>
          <w:i/>
          <w:szCs w:val="24"/>
        </w:rPr>
        <w:t>Źródło: Prognoza Oddziaływania na Środowisko „Programu Ochrony Środowiska dla Gminy Strawczyn na lata 2009-2016”.</w:t>
      </w:r>
    </w:p>
    <w:p w:rsidR="004A4C8F" w:rsidRPr="006123F5" w:rsidRDefault="004A4C8F" w:rsidP="004A4C8F">
      <w:pPr>
        <w:spacing w:line="360" w:lineRule="auto"/>
        <w:rPr>
          <w:b/>
          <w:i/>
        </w:rPr>
      </w:pPr>
      <w:r w:rsidRPr="006123F5">
        <w:rPr>
          <w:b/>
          <w:i/>
        </w:rPr>
        <w:t>Pomniki przyrody</w:t>
      </w:r>
    </w:p>
    <w:p w:rsidR="004A4C8F" w:rsidRPr="008F4791" w:rsidRDefault="004A4C8F" w:rsidP="004A4C8F">
      <w:pPr>
        <w:spacing w:line="360" w:lineRule="auto"/>
      </w:pPr>
      <w:r w:rsidRPr="008F4791">
        <w:t>Na terenie gminy, obok istniejących rezerwató</w:t>
      </w:r>
      <w:r>
        <w:t xml:space="preserve">w przyrody, występują 3 obiekty geologiczne uznane </w:t>
      </w:r>
      <w:r w:rsidRPr="008F4791">
        <w:t>za pomniki przyrody nieożywionej:</w:t>
      </w:r>
    </w:p>
    <w:p w:rsidR="004A4C8F" w:rsidRPr="008F4791" w:rsidRDefault="004A4C8F" w:rsidP="004A4C8F">
      <w:pPr>
        <w:spacing w:line="360" w:lineRule="auto"/>
      </w:pPr>
      <w:r w:rsidRPr="008F4791">
        <w:t xml:space="preserve">Skałki Św. Rozalii – położony na terenie rezerwatu „Perzowa Góra” we wsi Hucisko. </w:t>
      </w:r>
      <w:proofErr w:type="spellStart"/>
      <w:r w:rsidRPr="008F4791">
        <w:t>Jestto</w:t>
      </w:r>
      <w:proofErr w:type="spellEnd"/>
      <w:r w:rsidRPr="008F4791">
        <w:t xml:space="preserve"> ciąg naturalnych skałek zbudowanych z piaskowców dolnego triasu - </w:t>
      </w:r>
      <w:proofErr w:type="spellStart"/>
      <w:r w:rsidRPr="008F4791">
        <w:t>czerwonych,nierównoziarnistych</w:t>
      </w:r>
      <w:proofErr w:type="spellEnd"/>
      <w:r w:rsidRPr="008F4791">
        <w:t xml:space="preserve">, miejscami żwirkowatych, z doskonale widocznymi na </w:t>
      </w:r>
      <w:proofErr w:type="spellStart"/>
      <w:r w:rsidRPr="008F4791">
        <w:lastRenderedPageBreak/>
        <w:t>ściankachskałek</w:t>
      </w:r>
      <w:proofErr w:type="spellEnd"/>
      <w:r w:rsidRPr="008F4791">
        <w:t xml:space="preserve"> przekątnymi </w:t>
      </w:r>
      <w:proofErr w:type="spellStart"/>
      <w:r w:rsidRPr="008F4791">
        <w:t>warstwowaniami</w:t>
      </w:r>
      <w:proofErr w:type="spellEnd"/>
      <w:r w:rsidRPr="008F4791">
        <w:t xml:space="preserve"> rynnowymi. Pas skałek ma przebieg łukowaty </w:t>
      </w:r>
      <w:proofErr w:type="spellStart"/>
      <w:r w:rsidRPr="008F4791">
        <w:t>idługość</w:t>
      </w:r>
      <w:proofErr w:type="spellEnd"/>
      <w:r w:rsidRPr="008F4791">
        <w:t xml:space="preserve"> ok. 180 m. W otoczeniu występuje las bukowy z domieszką dębu, </w:t>
      </w:r>
      <w:proofErr w:type="spellStart"/>
      <w:r w:rsidRPr="008F4791">
        <w:t>jodły,modrzewia</w:t>
      </w:r>
      <w:proofErr w:type="spellEnd"/>
      <w:r w:rsidRPr="008F4791">
        <w:t xml:space="preserve"> i sosny.</w:t>
      </w:r>
    </w:p>
    <w:p w:rsidR="004A4C8F" w:rsidRDefault="004A4C8F" w:rsidP="004A4C8F">
      <w:pPr>
        <w:spacing w:line="360" w:lineRule="auto"/>
      </w:pPr>
      <w:r>
        <w:t>U</w:t>
      </w:r>
      <w:r w:rsidRPr="008F4791">
        <w:t xml:space="preserve">sypisko głazów i bloków skalnych – obszar położony we wsi Kuźniaki, na </w:t>
      </w:r>
      <w:proofErr w:type="spellStart"/>
      <w:r w:rsidRPr="008F4791">
        <w:t>południowymzboczu</w:t>
      </w:r>
      <w:proofErr w:type="spellEnd"/>
      <w:r w:rsidRPr="008F4791">
        <w:t xml:space="preserve"> Góry </w:t>
      </w:r>
      <w:proofErr w:type="spellStart"/>
      <w:r w:rsidRPr="008F4791">
        <w:t>Kuźniackiej</w:t>
      </w:r>
      <w:proofErr w:type="spellEnd"/>
      <w:r w:rsidRPr="008F4791">
        <w:t xml:space="preserve"> o długości około 40 m i szerokości 20 m. Bloki i głazy </w:t>
      </w:r>
      <w:proofErr w:type="spellStart"/>
      <w:r w:rsidRPr="008F4791">
        <w:t>zbudowanesą</w:t>
      </w:r>
      <w:proofErr w:type="spellEnd"/>
      <w:r w:rsidRPr="008F4791">
        <w:t xml:space="preserve"> z </w:t>
      </w:r>
      <w:proofErr w:type="spellStart"/>
      <w:r w:rsidRPr="008F4791">
        <w:t>dolnotriasowych</w:t>
      </w:r>
      <w:proofErr w:type="spellEnd"/>
      <w:r w:rsidRPr="008F4791">
        <w:t xml:space="preserve"> piaskowców jasnoszarych, niekiedy różowawych lub beżowych, </w:t>
      </w:r>
      <w:proofErr w:type="spellStart"/>
      <w:r w:rsidRPr="008F4791">
        <w:t>ozróżnicowanym</w:t>
      </w:r>
      <w:proofErr w:type="spellEnd"/>
      <w:r w:rsidRPr="008F4791">
        <w:t xml:space="preserve"> uziarnieniu z wkładkami piaskowców zlepie</w:t>
      </w:r>
      <w:r>
        <w:t>ńc</w:t>
      </w:r>
      <w:r w:rsidRPr="008F4791">
        <w:t>owatych.</w:t>
      </w:r>
    </w:p>
    <w:p w:rsidR="004A4C8F" w:rsidRDefault="00353A52" w:rsidP="004A4C8F">
      <w:pPr>
        <w:spacing w:line="360" w:lineRule="auto"/>
      </w:pPr>
      <w:r>
        <w:t>O</w:t>
      </w:r>
      <w:r w:rsidR="004A4C8F" w:rsidRPr="008F4791">
        <w:t xml:space="preserve">dsłonięcie geologiczne na terenie złoża barytu w miejscowości Strawczynek – </w:t>
      </w:r>
      <w:proofErr w:type="spellStart"/>
      <w:r w:rsidR="004A4C8F" w:rsidRPr="008F4791">
        <w:t>starewyrobisko</w:t>
      </w:r>
      <w:proofErr w:type="spellEnd"/>
      <w:r w:rsidR="004A4C8F" w:rsidRPr="008F4791">
        <w:t xml:space="preserve"> wgłębne o długości 65 m, szerokości 15-20 m i głębokości do 3 m </w:t>
      </w:r>
      <w:proofErr w:type="spellStart"/>
      <w:r w:rsidR="004A4C8F" w:rsidRPr="008F4791">
        <w:t>stanowiącepozostałość</w:t>
      </w:r>
      <w:proofErr w:type="spellEnd"/>
      <w:r w:rsidR="004A4C8F" w:rsidRPr="008F4791">
        <w:t xml:space="preserve"> dawnych prac badawczych i wydobywczych. Złoże odkryte w 1910 </w:t>
      </w:r>
      <w:proofErr w:type="spellStart"/>
      <w:r w:rsidR="004A4C8F" w:rsidRPr="008F4791">
        <w:t>r.eksploatowane</w:t>
      </w:r>
      <w:proofErr w:type="spellEnd"/>
      <w:r w:rsidR="004A4C8F" w:rsidRPr="008F4791">
        <w:t xml:space="preserve"> było od 1912 do 1959 r. systemem odkrywkowym </w:t>
      </w:r>
      <w:r w:rsidR="004A4C8F">
        <w:br/>
      </w:r>
      <w:r w:rsidR="004A4C8F" w:rsidRPr="008F4791">
        <w:t xml:space="preserve">i </w:t>
      </w:r>
      <w:proofErr w:type="spellStart"/>
      <w:r w:rsidR="004A4C8F" w:rsidRPr="008F4791">
        <w:t>wieloszybikowym.Baryt</w:t>
      </w:r>
      <w:proofErr w:type="spellEnd"/>
      <w:r w:rsidR="004A4C8F" w:rsidRPr="008F4791">
        <w:t xml:space="preserve"> występuje w formie żyłek w dewonie i rozproszonych impregnacji </w:t>
      </w:r>
      <w:proofErr w:type="spellStart"/>
      <w:r w:rsidR="004A4C8F" w:rsidRPr="008F4791">
        <w:t>triasie,koncentruje</w:t>
      </w:r>
      <w:proofErr w:type="spellEnd"/>
      <w:r w:rsidR="004A4C8F" w:rsidRPr="008F4791">
        <w:t xml:space="preserve"> się na pograniczu triasu i dewonu.</w:t>
      </w:r>
    </w:p>
    <w:p w:rsidR="00A60A57" w:rsidRPr="006123F5" w:rsidRDefault="004A4C8F" w:rsidP="006123F5">
      <w:pPr>
        <w:pStyle w:val="Nagwek2"/>
      </w:pPr>
      <w:bookmarkStart w:id="87" w:name="_Toc425192281"/>
      <w:bookmarkStart w:id="88" w:name="_Toc427675565"/>
      <w:bookmarkStart w:id="89" w:name="_Toc427734965"/>
      <w:r w:rsidRPr="006123F5">
        <w:t>Stan powietrza na terenie gminy Strawczyn</w:t>
      </w:r>
      <w:bookmarkEnd w:id="87"/>
      <w:bookmarkEnd w:id="88"/>
      <w:bookmarkEnd w:id="89"/>
    </w:p>
    <w:p w:rsidR="004A4C8F" w:rsidRPr="004A4C8F" w:rsidRDefault="004A4C8F" w:rsidP="004A4C8F">
      <w:pPr>
        <w:spacing w:line="360" w:lineRule="auto"/>
      </w:pPr>
      <w:r w:rsidRPr="004A4C8F">
        <w:t>Gmina Strawczyn charakteryzuje się dobrym stanem powietrza. Nie jest tutaj zlokalizowany przemysł, który mógłby stanowić poważne zagrożenia dla środowiska. Większą część gminy zajmują tereny objęte ochroną (park krajobrazowy i jego otulina, obszar chronionego krajobrazu).</w:t>
      </w:r>
    </w:p>
    <w:p w:rsidR="004A4C8F" w:rsidRPr="004A4C8F" w:rsidRDefault="004A4C8F" w:rsidP="004A4C8F">
      <w:pPr>
        <w:spacing w:line="360" w:lineRule="auto"/>
      </w:pPr>
      <w:r w:rsidRPr="004A4C8F">
        <w:t>Do źródeł emisji na terenie gminy należą:</w:t>
      </w:r>
    </w:p>
    <w:p w:rsidR="004A4C8F" w:rsidRPr="004A4C8F" w:rsidRDefault="004A4C8F" w:rsidP="00775439">
      <w:pPr>
        <w:numPr>
          <w:ilvl w:val="0"/>
          <w:numId w:val="32"/>
        </w:numPr>
        <w:spacing w:line="360" w:lineRule="auto"/>
        <w:rPr>
          <w:b/>
        </w:rPr>
      </w:pPr>
      <w:r w:rsidRPr="004A4C8F">
        <w:rPr>
          <w:b/>
        </w:rPr>
        <w:t>Emisja przemysłowa</w:t>
      </w:r>
    </w:p>
    <w:p w:rsidR="004A4C8F" w:rsidRPr="004A4C8F" w:rsidRDefault="004A4C8F" w:rsidP="004A4C8F">
      <w:pPr>
        <w:spacing w:line="360" w:lineRule="auto"/>
      </w:pPr>
      <w:r w:rsidRPr="004A4C8F">
        <w:t>Na terenie gminy Strawczyn zlokalizowane są małe obiekty produkcyjne i usługowe, nie stanowiące poważnych źródeł emisji zanieczyszczeń powietrza atmosferycznego. Zagrożenie stanowić może głównie aglomeracja kielecka oraz oddalone od gminy ośrodki przemysłowe o ponadregionalnym zasięgu oddziaływania zanieczyszczeń powietrza atmosferycznego.</w:t>
      </w:r>
    </w:p>
    <w:p w:rsidR="004A4C8F" w:rsidRPr="004A4C8F" w:rsidRDefault="004A4C8F" w:rsidP="00775439">
      <w:pPr>
        <w:numPr>
          <w:ilvl w:val="0"/>
          <w:numId w:val="32"/>
        </w:numPr>
        <w:spacing w:line="360" w:lineRule="auto"/>
        <w:rPr>
          <w:b/>
        </w:rPr>
      </w:pPr>
      <w:r w:rsidRPr="004A4C8F">
        <w:rPr>
          <w:b/>
        </w:rPr>
        <w:t>Emisja niska</w:t>
      </w:r>
    </w:p>
    <w:p w:rsidR="004A4C8F" w:rsidRPr="004A4C8F" w:rsidRDefault="004A4C8F" w:rsidP="004A4C8F">
      <w:pPr>
        <w:spacing w:line="360" w:lineRule="auto"/>
      </w:pPr>
      <w:r w:rsidRPr="004A4C8F">
        <w:t xml:space="preserve">Podstawowym źródłem zanieczyszczeń powietrza w gminie Strawczyn jest emisja toksycznych substancji z lokalnych kotłowni i pieców węglowych używanych </w:t>
      </w:r>
      <w:r w:rsidRPr="004A4C8F">
        <w:br/>
        <w:t xml:space="preserve">w indywidualnych gospodarstwach domowych. Takie lokalne systemy grzewcze i piece domowe nie posiadają urządzeń ochrony powietrza atmosferycznego. Wielkość emisji </w:t>
      </w:r>
      <w:r w:rsidRPr="004A4C8F">
        <w:br/>
        <w:t xml:space="preserve">z tych źródeł jest trudna do oszacowania i wykazuje zmienność sezonową wynikającą </w:t>
      </w:r>
      <w:r w:rsidRPr="004A4C8F">
        <w:br/>
        <w:t xml:space="preserve">z sezonu grzewczego. Spala się w nich różnego rodzaju materiały odpadowe, w tym odpady komunalne, które są źródłem emisji </w:t>
      </w:r>
      <w:proofErr w:type="spellStart"/>
      <w:r w:rsidRPr="004A4C8F">
        <w:t>dioksyn</w:t>
      </w:r>
      <w:proofErr w:type="spellEnd"/>
      <w:r w:rsidRPr="004A4C8F">
        <w:t xml:space="preserve">, gdyż proces spalania jest niepełny i zachodzi </w:t>
      </w:r>
      <w:r w:rsidRPr="004A4C8F">
        <w:br/>
      </w:r>
      <w:r w:rsidRPr="004A4C8F">
        <w:lastRenderedPageBreak/>
        <w:t>w stosunkowo niskich temperaturach. Zanieczyszczenia z tego rodzaju źródła zawierają znaczne ilości popiołu (ok. 20%), siarki (1-2%) oraz azotu (1%).</w:t>
      </w:r>
    </w:p>
    <w:p w:rsidR="004A4C8F" w:rsidRPr="004A4C8F" w:rsidRDefault="004A4C8F" w:rsidP="00775439">
      <w:pPr>
        <w:numPr>
          <w:ilvl w:val="0"/>
          <w:numId w:val="32"/>
        </w:numPr>
        <w:spacing w:line="360" w:lineRule="auto"/>
        <w:rPr>
          <w:b/>
        </w:rPr>
      </w:pPr>
      <w:r w:rsidRPr="004A4C8F">
        <w:rPr>
          <w:b/>
        </w:rPr>
        <w:t>Emisja komunikacyjna</w:t>
      </w:r>
    </w:p>
    <w:p w:rsidR="004A4C8F" w:rsidRPr="004A4C8F" w:rsidRDefault="004A4C8F" w:rsidP="004A4C8F">
      <w:pPr>
        <w:spacing w:line="360" w:lineRule="auto"/>
      </w:pPr>
      <w:r w:rsidRPr="004A4C8F">
        <w:t xml:space="preserve">Źródłem tego rodzaju emisji są drogi o dużym natężeniu ruchu kołowego. Zanieczyszczenia komunikacyjne to głównie: tlenek i dwutlenek węgla, tlenki azotu, węglowodory, pyły, metale ciężkie. Wpływają one na pogorszenie jakości powietrza atmosferycznego </w:t>
      </w:r>
      <w:r w:rsidRPr="004A4C8F">
        <w:br/>
        <w:t>i powodują wzrost stężenia ozonu w troposferze. Istotne jest również zapylenie powstające na skutek ścierania się opon, okładzin hamulcowych i nawierzchni dróg. Emisja komunikacyjna stanowi szczególne zagrożenie dla terenów przyległych, głównie ma niekorzystny wpływ na uprawy polowe. Na terenie gminy Strawczyn zagrożenie ze strony komunikacji stanowią przede wszystkim drogi wojewódzkie nr 748 i 760 jak i liczne drogi powiatowe, które przebiegają przez teren gminy.</w:t>
      </w:r>
    </w:p>
    <w:p w:rsidR="004A4C8F" w:rsidRPr="004A4C8F" w:rsidRDefault="004A4C8F" w:rsidP="00775439">
      <w:pPr>
        <w:numPr>
          <w:ilvl w:val="0"/>
          <w:numId w:val="32"/>
        </w:numPr>
        <w:spacing w:line="360" w:lineRule="auto"/>
        <w:rPr>
          <w:b/>
        </w:rPr>
      </w:pPr>
      <w:r w:rsidRPr="004A4C8F">
        <w:rPr>
          <w:b/>
        </w:rPr>
        <w:t>Stan sanitarny</w:t>
      </w:r>
    </w:p>
    <w:p w:rsidR="004A4C8F" w:rsidRPr="004A4C8F" w:rsidRDefault="004A4C8F" w:rsidP="004A4C8F">
      <w:pPr>
        <w:spacing w:line="360" w:lineRule="auto"/>
      </w:pPr>
      <w:r w:rsidRPr="004A4C8F">
        <w:t>Istotnym czynnikiem wpływającym na stan higieny atmosfery jest składowisko odpadów komunalnych w Promniku. Jest ono źródłem zanieczyszczeń pyłowych (</w:t>
      </w:r>
      <w:proofErr w:type="spellStart"/>
      <w:r w:rsidRPr="004A4C8F">
        <w:t>bioaerozole</w:t>
      </w:r>
      <w:proofErr w:type="spellEnd"/>
      <w:r w:rsidRPr="004A4C8F">
        <w:t xml:space="preserve"> zawierające organizmy chorobotwórcze) i </w:t>
      </w:r>
      <w:proofErr w:type="spellStart"/>
      <w:r w:rsidRPr="004A4C8F">
        <w:t>odorowych</w:t>
      </w:r>
      <w:proofErr w:type="spellEnd"/>
      <w:r w:rsidRPr="004A4C8F">
        <w:t>. W związku z tym została ustalona dla tego wysypiska strefa ochronna o zasięgu 400 m. Jest to strefa ograniczonego użytkowania, gdzie zabrania się lokalizowania obiektów przeznaczonych na stały pobyt ludzi, obiektów sportowych, rekreacyjnych itp.</w:t>
      </w:r>
    </w:p>
    <w:p w:rsidR="004A4C8F" w:rsidRDefault="004A4C8F" w:rsidP="006123F5">
      <w:pPr>
        <w:spacing w:line="360" w:lineRule="auto"/>
      </w:pPr>
      <w:r w:rsidRPr="004A4C8F">
        <w:t xml:space="preserve">Na </w:t>
      </w:r>
      <w:r w:rsidR="006123F5">
        <w:rPr>
          <w:i/>
        </w:rPr>
        <w:t>mapie</w:t>
      </w:r>
      <w:r w:rsidRPr="004A4C8F">
        <w:rPr>
          <w:i/>
        </w:rPr>
        <w:t xml:space="preserve"> 4</w:t>
      </w:r>
      <w:r w:rsidRPr="004A4C8F">
        <w:t xml:space="preserve"> przedstawiono rozkład średniorocznego stężenia pyłu PM10 w roku 2010, na podstawie przeprowadzonych pomiarów. Stężenie to mieści się w dolnych granicach od 25-30 µg/m</w:t>
      </w:r>
      <w:r w:rsidRPr="004A4C8F">
        <w:rPr>
          <w:vertAlign w:val="superscript"/>
        </w:rPr>
        <w:t>3</w:t>
      </w:r>
    </w:p>
    <w:p w:rsidR="006123F5" w:rsidRDefault="004A4C8F" w:rsidP="002635D4">
      <w:pPr>
        <w:keepNext/>
        <w:jc w:val="center"/>
      </w:pPr>
      <w:r w:rsidRPr="004A4C8F">
        <w:rPr>
          <w:noProof/>
          <w:lang w:eastAsia="pl-PL"/>
        </w:rPr>
        <w:lastRenderedPageBreak/>
        <w:drawing>
          <wp:inline distT="0" distB="0" distL="0" distR="0">
            <wp:extent cx="5059936" cy="2867025"/>
            <wp:effectExtent l="19050" t="0" r="7364"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67225" cy="2871155"/>
                    </a:xfrm>
                    <a:prstGeom prst="rect">
                      <a:avLst/>
                    </a:prstGeom>
                    <a:noFill/>
                    <a:ln>
                      <a:noFill/>
                    </a:ln>
                  </pic:spPr>
                </pic:pic>
              </a:graphicData>
            </a:graphic>
          </wp:inline>
        </w:drawing>
      </w:r>
    </w:p>
    <w:p w:rsidR="004A4C8F" w:rsidRPr="006123F5" w:rsidRDefault="006123F5" w:rsidP="00353A52">
      <w:pPr>
        <w:pStyle w:val="Legenda"/>
        <w:jc w:val="right"/>
        <w:rPr>
          <w:color w:val="auto"/>
        </w:rPr>
      </w:pPr>
      <w:bookmarkStart w:id="90" w:name="_Toc427675259"/>
      <w:r w:rsidRPr="006123F5">
        <w:rPr>
          <w:color w:val="auto"/>
        </w:rPr>
        <w:t xml:space="preserve">Mapa </w:t>
      </w:r>
      <w:r w:rsidR="00A93FFF" w:rsidRPr="006123F5">
        <w:rPr>
          <w:color w:val="auto"/>
        </w:rPr>
        <w:fldChar w:fldCharType="begin"/>
      </w:r>
      <w:r w:rsidRPr="006123F5">
        <w:rPr>
          <w:color w:val="auto"/>
        </w:rPr>
        <w:instrText xml:space="preserve"> SEQ Mapa \* ARABIC </w:instrText>
      </w:r>
      <w:r w:rsidR="00A93FFF" w:rsidRPr="006123F5">
        <w:rPr>
          <w:color w:val="auto"/>
        </w:rPr>
        <w:fldChar w:fldCharType="separate"/>
      </w:r>
      <w:r w:rsidR="00871648">
        <w:rPr>
          <w:noProof/>
          <w:color w:val="auto"/>
        </w:rPr>
        <w:t>4</w:t>
      </w:r>
      <w:r w:rsidR="00A93FFF" w:rsidRPr="006123F5">
        <w:rPr>
          <w:color w:val="auto"/>
        </w:rPr>
        <w:fldChar w:fldCharType="end"/>
      </w:r>
      <w:r w:rsidRPr="006123F5">
        <w:rPr>
          <w:color w:val="auto"/>
        </w:rPr>
        <w:t>. Rozkład średniorocznego stężenia pyłu PM 10 w roku 2010.</w:t>
      </w:r>
      <w:bookmarkEnd w:id="90"/>
    </w:p>
    <w:p w:rsidR="004A4C8F" w:rsidRDefault="004A4C8F" w:rsidP="00353A52">
      <w:pPr>
        <w:jc w:val="right"/>
        <w:rPr>
          <w:rFonts w:ascii="Cambria Math" w:hAnsi="Cambria Math"/>
          <w:i/>
        </w:rPr>
      </w:pPr>
      <w:r w:rsidRPr="006E0337">
        <w:rPr>
          <w:rFonts w:ascii="Cambria Math" w:hAnsi="Cambria Math"/>
          <w:i/>
        </w:rPr>
        <w:t>Źródło: Program ochrony powietrza dla województwa świętokrzyskiego.</w:t>
      </w:r>
    </w:p>
    <w:p w:rsidR="004A4C8F" w:rsidRPr="00281562" w:rsidRDefault="006123F5" w:rsidP="004A4C8F">
      <w:pPr>
        <w:spacing w:line="360" w:lineRule="auto"/>
        <w:rPr>
          <w:rFonts w:ascii="Cambria Math" w:hAnsi="Cambria Math"/>
          <w:sz w:val="24"/>
        </w:rPr>
      </w:pPr>
      <w:r>
        <w:rPr>
          <w:rFonts w:ascii="Cambria Math" w:hAnsi="Cambria Math"/>
          <w:sz w:val="24"/>
        </w:rPr>
        <w:t>Na mapie</w:t>
      </w:r>
      <w:r w:rsidR="004A4C8F">
        <w:rPr>
          <w:rFonts w:ascii="Cambria Math" w:hAnsi="Cambria Math"/>
          <w:sz w:val="24"/>
        </w:rPr>
        <w:t xml:space="preserve"> 5 przedstawiono rozkład stężeń średniorocznych </w:t>
      </w:r>
      <w:proofErr w:type="spellStart"/>
      <w:r w:rsidR="004A4C8F">
        <w:rPr>
          <w:rFonts w:ascii="Cambria Math" w:hAnsi="Cambria Math"/>
          <w:sz w:val="24"/>
        </w:rPr>
        <w:t>benzo</w:t>
      </w:r>
      <w:proofErr w:type="spellEnd"/>
      <w:r w:rsidR="004A4C8F">
        <w:rPr>
          <w:rFonts w:ascii="Cambria Math" w:hAnsi="Cambria Math"/>
          <w:sz w:val="24"/>
        </w:rPr>
        <w:t>(a)</w:t>
      </w:r>
      <w:proofErr w:type="spellStart"/>
      <w:r w:rsidR="004A4C8F">
        <w:rPr>
          <w:rFonts w:ascii="Cambria Math" w:hAnsi="Cambria Math"/>
          <w:sz w:val="24"/>
        </w:rPr>
        <w:t>pirenu</w:t>
      </w:r>
      <w:proofErr w:type="spellEnd"/>
      <w:r w:rsidR="004A4C8F">
        <w:rPr>
          <w:rFonts w:ascii="Cambria Math" w:hAnsi="Cambria Math"/>
          <w:sz w:val="24"/>
        </w:rPr>
        <w:t xml:space="preserve"> w roku 2010. Stężenie tego związku mieści się w dolnych granicach od 2 do 3 </w:t>
      </w:r>
      <w:r w:rsidR="004A4C8F">
        <w:rPr>
          <w:rFonts w:ascii="Cambria Math" w:hAnsi="Cambria Math" w:cs="Arial"/>
          <w:sz w:val="24"/>
          <w:szCs w:val="21"/>
          <w:lang w:eastAsia="pl-PL"/>
        </w:rPr>
        <w:t>25-30 µg/m</w:t>
      </w:r>
      <w:r w:rsidR="004A4C8F" w:rsidRPr="00281562">
        <w:rPr>
          <w:rFonts w:ascii="Cambria Math" w:hAnsi="Cambria Math" w:cs="Arial"/>
          <w:sz w:val="24"/>
          <w:szCs w:val="21"/>
          <w:vertAlign w:val="superscript"/>
          <w:lang w:eastAsia="pl-PL"/>
        </w:rPr>
        <w:t>3</w:t>
      </w:r>
      <w:r w:rsidR="004A4C8F">
        <w:rPr>
          <w:rFonts w:ascii="Cambria Math" w:hAnsi="Cambria Math" w:cs="Arial"/>
          <w:sz w:val="24"/>
          <w:szCs w:val="21"/>
          <w:lang w:eastAsia="pl-PL"/>
        </w:rPr>
        <w:t>.</w:t>
      </w:r>
    </w:p>
    <w:p w:rsidR="004A4C8F" w:rsidRDefault="004A4C8F" w:rsidP="004A4C8F">
      <w:pPr>
        <w:spacing w:line="360" w:lineRule="auto"/>
      </w:pPr>
    </w:p>
    <w:p w:rsidR="006123F5" w:rsidRDefault="004A4C8F" w:rsidP="006123F5">
      <w:pPr>
        <w:keepNext/>
        <w:jc w:val="center"/>
      </w:pPr>
      <w:r>
        <w:rPr>
          <w:noProof/>
          <w:lang w:eastAsia="pl-PL"/>
        </w:rPr>
        <w:drawing>
          <wp:inline distT="0" distB="0" distL="0" distR="0">
            <wp:extent cx="5953125" cy="3790950"/>
            <wp:effectExtent l="0" t="0" r="9525"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53125" cy="3790950"/>
                    </a:xfrm>
                    <a:prstGeom prst="rect">
                      <a:avLst/>
                    </a:prstGeom>
                    <a:noFill/>
                    <a:ln>
                      <a:noFill/>
                    </a:ln>
                  </pic:spPr>
                </pic:pic>
              </a:graphicData>
            </a:graphic>
          </wp:inline>
        </w:drawing>
      </w:r>
    </w:p>
    <w:p w:rsidR="004A4C8F" w:rsidRPr="006123F5" w:rsidRDefault="006123F5" w:rsidP="00353A52">
      <w:pPr>
        <w:pStyle w:val="Legenda"/>
        <w:jc w:val="right"/>
        <w:rPr>
          <w:color w:val="auto"/>
        </w:rPr>
      </w:pPr>
      <w:bookmarkStart w:id="91" w:name="_Toc427675260"/>
      <w:r w:rsidRPr="006123F5">
        <w:rPr>
          <w:color w:val="auto"/>
        </w:rPr>
        <w:t xml:space="preserve">Mapa </w:t>
      </w:r>
      <w:r w:rsidR="00A93FFF" w:rsidRPr="006123F5">
        <w:rPr>
          <w:color w:val="auto"/>
        </w:rPr>
        <w:fldChar w:fldCharType="begin"/>
      </w:r>
      <w:r w:rsidRPr="006123F5">
        <w:rPr>
          <w:color w:val="auto"/>
        </w:rPr>
        <w:instrText xml:space="preserve"> SEQ Mapa \* ARABIC </w:instrText>
      </w:r>
      <w:r w:rsidR="00A93FFF" w:rsidRPr="006123F5">
        <w:rPr>
          <w:color w:val="auto"/>
        </w:rPr>
        <w:fldChar w:fldCharType="separate"/>
      </w:r>
      <w:r w:rsidR="00871648">
        <w:rPr>
          <w:noProof/>
          <w:color w:val="auto"/>
        </w:rPr>
        <w:t>5</w:t>
      </w:r>
      <w:r w:rsidR="00A93FFF" w:rsidRPr="006123F5">
        <w:rPr>
          <w:color w:val="auto"/>
        </w:rPr>
        <w:fldChar w:fldCharType="end"/>
      </w:r>
      <w:r w:rsidRPr="006123F5">
        <w:rPr>
          <w:color w:val="auto"/>
        </w:rPr>
        <w:t xml:space="preserve">. Rozkład stężeń </w:t>
      </w:r>
      <w:r w:rsidR="00B5510E">
        <w:rPr>
          <w:color w:val="auto"/>
        </w:rPr>
        <w:t xml:space="preserve">średniorocznych </w:t>
      </w:r>
      <w:proofErr w:type="spellStart"/>
      <w:r w:rsidRPr="006123F5">
        <w:rPr>
          <w:color w:val="auto"/>
        </w:rPr>
        <w:t>benzo</w:t>
      </w:r>
      <w:proofErr w:type="spellEnd"/>
      <w:r w:rsidRPr="006123F5">
        <w:rPr>
          <w:color w:val="auto"/>
        </w:rPr>
        <w:t>(a)</w:t>
      </w:r>
      <w:proofErr w:type="spellStart"/>
      <w:r w:rsidRPr="006123F5">
        <w:rPr>
          <w:color w:val="auto"/>
        </w:rPr>
        <w:t>pirenu</w:t>
      </w:r>
      <w:proofErr w:type="spellEnd"/>
      <w:r w:rsidRPr="006123F5">
        <w:rPr>
          <w:color w:val="auto"/>
        </w:rPr>
        <w:t xml:space="preserve"> w roku 2010.</w:t>
      </w:r>
      <w:bookmarkEnd w:id="91"/>
    </w:p>
    <w:p w:rsidR="004A4C8F" w:rsidRPr="006E0337" w:rsidRDefault="004A4C8F" w:rsidP="00353A52">
      <w:pPr>
        <w:jc w:val="right"/>
        <w:rPr>
          <w:rFonts w:ascii="Cambria Math" w:hAnsi="Cambria Math"/>
          <w:i/>
        </w:rPr>
      </w:pPr>
      <w:r w:rsidRPr="006E0337">
        <w:rPr>
          <w:rFonts w:ascii="Cambria Math" w:hAnsi="Cambria Math"/>
          <w:i/>
        </w:rPr>
        <w:t>Źródło: Program ochrony powietrza dla województwa świętokrzyskiego.</w:t>
      </w:r>
    </w:p>
    <w:p w:rsidR="004A4C8F" w:rsidRDefault="004A4C8F" w:rsidP="004A4C8F">
      <w:pPr>
        <w:spacing w:line="360" w:lineRule="auto"/>
      </w:pPr>
      <w:r>
        <w:lastRenderedPageBreak/>
        <w:t>Stan powietrza na terenie gminy Strawczyn jest dobry. Brak jest przekroczeń niebezpiecznych substancji w powietrzu, a także większych źródeł zanieczyszczeń powietrza (zakłady przemysłowe).</w:t>
      </w:r>
    </w:p>
    <w:p w:rsidR="002635D4" w:rsidRDefault="002635D4" w:rsidP="004A4C8F">
      <w:pPr>
        <w:spacing w:line="360" w:lineRule="auto"/>
      </w:pPr>
    </w:p>
    <w:p w:rsidR="002635D4" w:rsidRPr="006E0337" w:rsidRDefault="002635D4" w:rsidP="004A4C8F">
      <w:pPr>
        <w:spacing w:line="360" w:lineRule="auto"/>
      </w:pPr>
    </w:p>
    <w:p w:rsidR="004A4C8F" w:rsidRPr="006123F5" w:rsidRDefault="004A4C8F" w:rsidP="006123F5">
      <w:pPr>
        <w:pStyle w:val="Nagwek2"/>
      </w:pPr>
      <w:bookmarkStart w:id="92" w:name="_Toc427675566"/>
      <w:bookmarkStart w:id="93" w:name="_Toc427734966"/>
      <w:r w:rsidRPr="006123F5">
        <w:t>Demografia</w:t>
      </w:r>
      <w:bookmarkEnd w:id="92"/>
      <w:bookmarkEnd w:id="93"/>
    </w:p>
    <w:p w:rsidR="004A4C8F" w:rsidRPr="00772A22" w:rsidRDefault="004A4C8F" w:rsidP="004A4C8F">
      <w:pPr>
        <w:spacing w:line="360" w:lineRule="auto"/>
        <w:rPr>
          <w:lang w:eastAsia="pl-PL"/>
        </w:rPr>
      </w:pPr>
      <w:r w:rsidRPr="00772A22">
        <w:t xml:space="preserve">Według danych publikowanych przez Bank Danych Lokalnych na terenie gminy </w:t>
      </w:r>
      <w:r>
        <w:t>Strawczyn</w:t>
      </w:r>
      <w:r w:rsidRPr="00772A22">
        <w:br/>
        <w:t xml:space="preserve">w 2013 roku zamieszkiwało </w:t>
      </w:r>
      <w:r w:rsidRPr="00772A22">
        <w:rPr>
          <w:lang w:eastAsia="pl-PL"/>
        </w:rPr>
        <w:t xml:space="preserve">10 346 osób, zaś w 2000 roku 9 571 osób. Z roku na rok można zauważyć tendencję wzrostową liczby ludności. </w:t>
      </w:r>
      <w:r>
        <w:rPr>
          <w:lang w:eastAsia="pl-PL"/>
        </w:rPr>
        <w:t>Średnioroczny trend zmian wynosi 0,61 %.</w:t>
      </w:r>
    </w:p>
    <w:p w:rsidR="004A4C8F" w:rsidRPr="00921340" w:rsidRDefault="004A4C8F" w:rsidP="004A4C8F">
      <w:pPr>
        <w:keepNext/>
        <w:rPr>
          <w:rFonts w:asciiTheme="minorHAnsi" w:hAnsiTheme="minorHAnsi" w:cstheme="minorHAnsi"/>
          <w:color w:val="000000" w:themeColor="text1"/>
          <w:sz w:val="24"/>
          <w:szCs w:val="24"/>
        </w:rPr>
      </w:pPr>
      <w:r>
        <w:rPr>
          <w:noProof/>
          <w:lang w:eastAsia="pl-PL"/>
        </w:rPr>
        <w:drawing>
          <wp:inline distT="0" distB="0" distL="0" distR="0">
            <wp:extent cx="5939790" cy="2350770"/>
            <wp:effectExtent l="0" t="0" r="0" b="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A4C8F" w:rsidRPr="0018337E" w:rsidRDefault="004A4C8F" w:rsidP="00353A52">
      <w:pPr>
        <w:pStyle w:val="Legenda"/>
        <w:jc w:val="right"/>
        <w:rPr>
          <w:rFonts w:ascii="Cambria Math" w:hAnsi="Cambria Math" w:cstheme="minorHAnsi"/>
          <w:color w:val="000000" w:themeColor="text1"/>
          <w:sz w:val="22"/>
          <w:szCs w:val="24"/>
        </w:rPr>
      </w:pPr>
      <w:bookmarkStart w:id="94" w:name="_Toc415736431"/>
      <w:bookmarkStart w:id="95" w:name="_Toc416255330"/>
      <w:bookmarkStart w:id="96" w:name="_Toc417385520"/>
      <w:bookmarkStart w:id="97" w:name="_Toc417896616"/>
      <w:bookmarkStart w:id="98" w:name="_Toc418500453"/>
      <w:bookmarkStart w:id="99" w:name="_Toc421380352"/>
      <w:bookmarkStart w:id="100" w:name="_Toc421708412"/>
      <w:bookmarkStart w:id="101" w:name="_Toc424043281"/>
      <w:bookmarkStart w:id="102" w:name="_Toc424564447"/>
      <w:bookmarkStart w:id="103" w:name="_Toc425194261"/>
      <w:bookmarkStart w:id="104" w:name="_Toc426012750"/>
      <w:bookmarkStart w:id="105" w:name="_Toc426465068"/>
      <w:bookmarkStart w:id="106" w:name="_Toc427675422"/>
      <w:r w:rsidRPr="0018337E">
        <w:rPr>
          <w:rFonts w:ascii="Cambria Math" w:hAnsi="Cambria Math" w:cstheme="minorHAnsi"/>
          <w:color w:val="000000" w:themeColor="text1"/>
          <w:sz w:val="22"/>
          <w:szCs w:val="24"/>
        </w:rPr>
        <w:t xml:space="preserve">Wykres </w:t>
      </w:r>
      <w:r w:rsidR="00A93FFF" w:rsidRPr="0018337E">
        <w:rPr>
          <w:rFonts w:ascii="Cambria Math" w:hAnsi="Cambria Math" w:cstheme="minorHAnsi"/>
          <w:color w:val="000000" w:themeColor="text1"/>
          <w:sz w:val="22"/>
          <w:szCs w:val="24"/>
        </w:rPr>
        <w:fldChar w:fldCharType="begin"/>
      </w:r>
      <w:r w:rsidRPr="0018337E">
        <w:rPr>
          <w:rFonts w:ascii="Cambria Math" w:hAnsi="Cambria Math" w:cstheme="minorHAnsi"/>
          <w:color w:val="000000" w:themeColor="text1"/>
          <w:sz w:val="22"/>
          <w:szCs w:val="24"/>
        </w:rPr>
        <w:instrText xml:space="preserve"> SEQ Wykres \* ARABIC </w:instrText>
      </w:r>
      <w:r w:rsidR="00A93FFF" w:rsidRPr="0018337E">
        <w:rPr>
          <w:rFonts w:ascii="Cambria Math" w:hAnsi="Cambria Math" w:cstheme="minorHAnsi"/>
          <w:color w:val="000000" w:themeColor="text1"/>
          <w:sz w:val="22"/>
          <w:szCs w:val="24"/>
        </w:rPr>
        <w:fldChar w:fldCharType="separate"/>
      </w:r>
      <w:r w:rsidR="00871648">
        <w:rPr>
          <w:rFonts w:ascii="Cambria Math" w:hAnsi="Cambria Math" w:cstheme="minorHAnsi"/>
          <w:noProof/>
          <w:color w:val="000000" w:themeColor="text1"/>
          <w:sz w:val="22"/>
          <w:szCs w:val="24"/>
        </w:rPr>
        <w:t>1</w:t>
      </w:r>
      <w:r w:rsidR="00A93FFF" w:rsidRPr="0018337E">
        <w:rPr>
          <w:rFonts w:ascii="Cambria Math" w:hAnsi="Cambria Math" w:cstheme="minorHAnsi"/>
          <w:color w:val="000000" w:themeColor="text1"/>
          <w:sz w:val="22"/>
          <w:szCs w:val="24"/>
        </w:rPr>
        <w:fldChar w:fldCharType="end"/>
      </w:r>
      <w:r w:rsidRPr="0018337E">
        <w:rPr>
          <w:rFonts w:ascii="Cambria Math" w:hAnsi="Cambria Math" w:cstheme="minorHAnsi"/>
          <w:color w:val="000000" w:themeColor="text1"/>
          <w:sz w:val="22"/>
          <w:szCs w:val="24"/>
        </w:rPr>
        <w:t xml:space="preserve">. Liczba mieszkańców gminy </w:t>
      </w:r>
      <w:r>
        <w:rPr>
          <w:rFonts w:ascii="Cambria Math" w:hAnsi="Cambria Math" w:cstheme="minorHAnsi"/>
          <w:color w:val="000000" w:themeColor="text1"/>
          <w:sz w:val="22"/>
          <w:szCs w:val="24"/>
        </w:rPr>
        <w:t xml:space="preserve">Strawczyn </w:t>
      </w:r>
      <w:r w:rsidRPr="0018337E">
        <w:rPr>
          <w:rFonts w:ascii="Cambria Math" w:hAnsi="Cambria Math" w:cstheme="minorHAnsi"/>
          <w:color w:val="000000" w:themeColor="text1"/>
          <w:sz w:val="22"/>
          <w:szCs w:val="24"/>
        </w:rPr>
        <w:t>w latach 2000-2013.</w:t>
      </w:r>
      <w:bookmarkEnd w:id="94"/>
      <w:bookmarkEnd w:id="95"/>
      <w:bookmarkEnd w:id="96"/>
      <w:bookmarkEnd w:id="97"/>
      <w:bookmarkEnd w:id="98"/>
      <w:bookmarkEnd w:id="99"/>
      <w:bookmarkEnd w:id="100"/>
      <w:bookmarkEnd w:id="101"/>
      <w:bookmarkEnd w:id="102"/>
      <w:bookmarkEnd w:id="103"/>
      <w:bookmarkEnd w:id="104"/>
      <w:bookmarkEnd w:id="105"/>
      <w:bookmarkEnd w:id="106"/>
    </w:p>
    <w:p w:rsidR="004A4C8F" w:rsidRPr="0018337E" w:rsidRDefault="004A4C8F" w:rsidP="00353A52">
      <w:pPr>
        <w:jc w:val="right"/>
        <w:rPr>
          <w:rFonts w:ascii="Cambria Math" w:hAnsi="Cambria Math" w:cstheme="minorHAnsi"/>
          <w:i/>
          <w:color w:val="000000" w:themeColor="text1"/>
          <w:szCs w:val="24"/>
        </w:rPr>
      </w:pPr>
      <w:r w:rsidRPr="0018337E">
        <w:rPr>
          <w:rFonts w:ascii="Cambria Math" w:hAnsi="Cambria Math" w:cstheme="minorHAnsi"/>
          <w:i/>
          <w:color w:val="000000" w:themeColor="text1"/>
          <w:szCs w:val="24"/>
        </w:rPr>
        <w:t xml:space="preserve">Źródło: Bank Danych </w:t>
      </w:r>
      <w:r>
        <w:rPr>
          <w:rFonts w:ascii="Cambria Math" w:hAnsi="Cambria Math" w:cstheme="minorHAnsi"/>
          <w:i/>
          <w:color w:val="000000" w:themeColor="text1"/>
          <w:szCs w:val="24"/>
        </w:rPr>
        <w:t>Lokalnych, GUS [1].</w:t>
      </w:r>
    </w:p>
    <w:p w:rsidR="004A4C8F" w:rsidRPr="00D37411" w:rsidRDefault="004A4C8F" w:rsidP="004A4C8F">
      <w:pPr>
        <w:keepNext/>
        <w:rPr>
          <w:rFonts w:ascii="Cambria Math" w:hAnsi="Cambria Math" w:cstheme="minorHAnsi"/>
          <w:sz w:val="24"/>
          <w:szCs w:val="24"/>
        </w:rPr>
      </w:pPr>
      <w:r w:rsidRPr="00D37411">
        <w:rPr>
          <w:rFonts w:ascii="Cambria Math" w:hAnsi="Cambria Math" w:cstheme="minorHAnsi"/>
          <w:sz w:val="24"/>
          <w:szCs w:val="24"/>
        </w:rPr>
        <w:lastRenderedPageBreak/>
        <w:t>Do 2020 roku prognozuje się dalszy wzrost liczby mieszkańców. Według szacunków w 2020 roku liczba osób zamieszkujących gminę może wynosić 10 795.</w:t>
      </w:r>
    </w:p>
    <w:p w:rsidR="004A4C8F" w:rsidRPr="00921340" w:rsidRDefault="004A4C8F" w:rsidP="004A4C8F">
      <w:pPr>
        <w:keepNext/>
        <w:jc w:val="center"/>
        <w:rPr>
          <w:rFonts w:asciiTheme="minorHAnsi" w:hAnsiTheme="minorHAnsi" w:cstheme="minorHAnsi"/>
          <w:color w:val="000000" w:themeColor="text1"/>
          <w:sz w:val="24"/>
          <w:szCs w:val="24"/>
        </w:rPr>
      </w:pPr>
      <w:r>
        <w:rPr>
          <w:noProof/>
          <w:lang w:eastAsia="pl-PL"/>
        </w:rPr>
        <w:drawing>
          <wp:inline distT="0" distB="0" distL="0" distR="0">
            <wp:extent cx="5939790" cy="2312670"/>
            <wp:effectExtent l="0" t="0" r="0" b="0"/>
            <wp:docPr id="4"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4A4C8F" w:rsidRPr="0018337E" w:rsidRDefault="004A4C8F" w:rsidP="00353A52">
      <w:pPr>
        <w:pStyle w:val="Legenda"/>
        <w:jc w:val="right"/>
        <w:rPr>
          <w:rFonts w:ascii="Cambria Math" w:hAnsi="Cambria Math" w:cs="Vani"/>
          <w:color w:val="000000" w:themeColor="text1"/>
          <w:sz w:val="22"/>
          <w:szCs w:val="20"/>
        </w:rPr>
      </w:pPr>
      <w:bookmarkStart w:id="107" w:name="_Toc411948601"/>
      <w:bookmarkStart w:id="108" w:name="_Toc415736432"/>
      <w:bookmarkStart w:id="109" w:name="_Toc416255331"/>
      <w:bookmarkStart w:id="110" w:name="_Toc417385521"/>
      <w:bookmarkStart w:id="111" w:name="_Toc417896617"/>
      <w:bookmarkStart w:id="112" w:name="_Toc418500454"/>
      <w:bookmarkStart w:id="113" w:name="_Toc421380353"/>
      <w:bookmarkStart w:id="114" w:name="_Toc421708413"/>
      <w:bookmarkStart w:id="115" w:name="_Toc424043282"/>
      <w:bookmarkStart w:id="116" w:name="_Toc424564448"/>
      <w:bookmarkStart w:id="117" w:name="_Toc425194262"/>
      <w:bookmarkStart w:id="118" w:name="_Toc426012751"/>
      <w:bookmarkStart w:id="119" w:name="_Toc426465069"/>
      <w:bookmarkStart w:id="120" w:name="_Toc427675423"/>
      <w:r w:rsidRPr="0018337E">
        <w:rPr>
          <w:rFonts w:ascii="Cambria Math" w:hAnsi="Cambria Math" w:cs="Vani"/>
          <w:color w:val="000000" w:themeColor="text1"/>
          <w:sz w:val="22"/>
          <w:szCs w:val="20"/>
        </w:rPr>
        <w:t xml:space="preserve">Wykres </w:t>
      </w:r>
      <w:r w:rsidR="00A93FFF" w:rsidRPr="0018337E">
        <w:rPr>
          <w:rFonts w:ascii="Cambria Math" w:hAnsi="Cambria Math" w:cs="Vani"/>
          <w:color w:val="000000" w:themeColor="text1"/>
          <w:sz w:val="22"/>
          <w:szCs w:val="20"/>
        </w:rPr>
        <w:fldChar w:fldCharType="begin"/>
      </w:r>
      <w:r w:rsidRPr="0018337E">
        <w:rPr>
          <w:rFonts w:ascii="Cambria Math" w:hAnsi="Cambria Math" w:cs="Vani"/>
          <w:color w:val="000000" w:themeColor="text1"/>
          <w:sz w:val="22"/>
          <w:szCs w:val="20"/>
        </w:rPr>
        <w:instrText xml:space="preserve"> SEQ Wykres \* ARABIC </w:instrText>
      </w:r>
      <w:r w:rsidR="00A93FFF" w:rsidRPr="0018337E">
        <w:rPr>
          <w:rFonts w:ascii="Cambria Math" w:hAnsi="Cambria Math" w:cs="Vani"/>
          <w:color w:val="000000" w:themeColor="text1"/>
          <w:sz w:val="22"/>
          <w:szCs w:val="20"/>
        </w:rPr>
        <w:fldChar w:fldCharType="separate"/>
      </w:r>
      <w:r w:rsidR="00871648">
        <w:rPr>
          <w:rFonts w:ascii="Cambria Math" w:hAnsi="Cambria Math" w:cs="Vani"/>
          <w:noProof/>
          <w:color w:val="000000" w:themeColor="text1"/>
          <w:sz w:val="22"/>
          <w:szCs w:val="20"/>
        </w:rPr>
        <w:t>2</w:t>
      </w:r>
      <w:r w:rsidR="00A93FFF" w:rsidRPr="0018337E">
        <w:rPr>
          <w:rFonts w:ascii="Cambria Math" w:hAnsi="Cambria Math" w:cs="Vani"/>
          <w:color w:val="000000" w:themeColor="text1"/>
          <w:sz w:val="22"/>
          <w:szCs w:val="20"/>
        </w:rPr>
        <w:fldChar w:fldCharType="end"/>
      </w:r>
      <w:r w:rsidRPr="0018337E">
        <w:rPr>
          <w:rFonts w:ascii="Cambria Math" w:hAnsi="Cambria Math" w:cs="Vani"/>
          <w:color w:val="000000" w:themeColor="text1"/>
          <w:sz w:val="22"/>
          <w:szCs w:val="20"/>
        </w:rPr>
        <w:t xml:space="preserve">. </w:t>
      </w:r>
      <w:bookmarkEnd w:id="107"/>
      <w:bookmarkEnd w:id="108"/>
      <w:bookmarkEnd w:id="109"/>
      <w:bookmarkEnd w:id="110"/>
      <w:bookmarkEnd w:id="111"/>
      <w:bookmarkEnd w:id="112"/>
      <w:bookmarkEnd w:id="113"/>
      <w:bookmarkEnd w:id="114"/>
      <w:r w:rsidRPr="0018337E">
        <w:rPr>
          <w:rFonts w:ascii="Cambria Math" w:hAnsi="Cambria Math" w:cs="Vani"/>
          <w:color w:val="000000" w:themeColor="text1"/>
          <w:sz w:val="22"/>
          <w:szCs w:val="20"/>
        </w:rPr>
        <w:t>Zmiany liczby mieszka</w:t>
      </w:r>
      <w:r w:rsidRPr="0018337E">
        <w:rPr>
          <w:rFonts w:ascii="Cambria Math" w:hAnsi="Cambria Math" w:cs="Calibri"/>
          <w:color w:val="000000" w:themeColor="text1"/>
          <w:sz w:val="22"/>
          <w:szCs w:val="20"/>
        </w:rPr>
        <w:t>ń</w:t>
      </w:r>
      <w:r w:rsidRPr="0018337E">
        <w:rPr>
          <w:rFonts w:ascii="Cambria Math" w:hAnsi="Cambria Math" w:cs="Vani"/>
          <w:color w:val="000000" w:themeColor="text1"/>
          <w:sz w:val="22"/>
          <w:szCs w:val="20"/>
        </w:rPr>
        <w:t xml:space="preserve">ców na terenie gminy </w:t>
      </w:r>
      <w:r>
        <w:rPr>
          <w:rFonts w:ascii="Cambria Math" w:hAnsi="Cambria Math" w:cs="Vani"/>
          <w:color w:val="000000" w:themeColor="text1"/>
          <w:sz w:val="22"/>
          <w:szCs w:val="20"/>
        </w:rPr>
        <w:t>Strawczyn</w:t>
      </w:r>
      <w:r w:rsidRPr="0018337E">
        <w:rPr>
          <w:rFonts w:ascii="Cambria Math" w:hAnsi="Cambria Math" w:cs="Vani"/>
          <w:color w:val="000000" w:themeColor="text1"/>
          <w:sz w:val="22"/>
          <w:szCs w:val="20"/>
        </w:rPr>
        <w:t xml:space="preserve"> w latach 2000-2013 wraz </w:t>
      </w:r>
      <w:r>
        <w:rPr>
          <w:rFonts w:ascii="Cambria Math" w:hAnsi="Cambria Math" w:cs="Vani"/>
          <w:color w:val="000000" w:themeColor="text1"/>
          <w:sz w:val="22"/>
          <w:szCs w:val="20"/>
        </w:rPr>
        <w:br/>
      </w:r>
      <w:r w:rsidRPr="0018337E">
        <w:rPr>
          <w:rFonts w:ascii="Cambria Math" w:hAnsi="Cambria Math" w:cs="Vani"/>
          <w:color w:val="000000" w:themeColor="text1"/>
          <w:sz w:val="22"/>
          <w:szCs w:val="20"/>
        </w:rPr>
        <w:t>z prognoz</w:t>
      </w:r>
      <w:r w:rsidRPr="0018337E">
        <w:rPr>
          <w:rFonts w:ascii="Cambria Math" w:hAnsi="Cambria Math" w:cs="Calibri"/>
          <w:color w:val="000000" w:themeColor="text1"/>
          <w:sz w:val="22"/>
          <w:szCs w:val="20"/>
        </w:rPr>
        <w:t>ą</w:t>
      </w:r>
      <w:r w:rsidRPr="0018337E">
        <w:rPr>
          <w:rFonts w:ascii="Cambria Math" w:hAnsi="Cambria Math" w:cs="Vani"/>
          <w:color w:val="000000" w:themeColor="text1"/>
          <w:sz w:val="22"/>
          <w:szCs w:val="20"/>
        </w:rPr>
        <w:t xml:space="preserve"> na lata 2014-2020.</w:t>
      </w:r>
      <w:bookmarkEnd w:id="115"/>
      <w:bookmarkEnd w:id="116"/>
      <w:bookmarkEnd w:id="117"/>
      <w:bookmarkEnd w:id="118"/>
      <w:bookmarkEnd w:id="119"/>
      <w:bookmarkEnd w:id="120"/>
    </w:p>
    <w:p w:rsidR="004A4C8F" w:rsidRDefault="004A4C8F" w:rsidP="00353A52">
      <w:pPr>
        <w:pStyle w:val="Legenda"/>
        <w:jc w:val="right"/>
        <w:rPr>
          <w:rFonts w:ascii="Cambria Math" w:hAnsi="Cambria Math" w:cs="Vani"/>
          <w:b w:val="0"/>
          <w:i/>
          <w:color w:val="000000" w:themeColor="text1"/>
          <w:sz w:val="22"/>
          <w:szCs w:val="24"/>
        </w:rPr>
      </w:pPr>
      <w:r w:rsidRPr="0018337E">
        <w:rPr>
          <w:rFonts w:ascii="Cambria Math" w:hAnsi="Cambria Math" w:cs="Calibri"/>
          <w:b w:val="0"/>
          <w:i/>
          <w:color w:val="000000" w:themeColor="text1"/>
          <w:sz w:val="22"/>
          <w:szCs w:val="24"/>
        </w:rPr>
        <w:t>Ź</w:t>
      </w:r>
      <w:r w:rsidRPr="0018337E">
        <w:rPr>
          <w:rFonts w:ascii="Cambria Math" w:hAnsi="Cambria Math" w:cs="Vani"/>
          <w:b w:val="0"/>
          <w:i/>
          <w:color w:val="000000" w:themeColor="text1"/>
          <w:sz w:val="22"/>
          <w:szCs w:val="24"/>
        </w:rPr>
        <w:t>ród</w:t>
      </w:r>
      <w:r w:rsidRPr="0018337E">
        <w:rPr>
          <w:rFonts w:ascii="Cambria Math" w:hAnsi="Cambria Math" w:cs="Calibri"/>
          <w:b w:val="0"/>
          <w:i/>
          <w:color w:val="000000" w:themeColor="text1"/>
          <w:sz w:val="22"/>
          <w:szCs w:val="24"/>
        </w:rPr>
        <w:t>ł</w:t>
      </w:r>
      <w:r w:rsidRPr="0018337E">
        <w:rPr>
          <w:rFonts w:ascii="Cambria Math" w:hAnsi="Cambria Math" w:cs="Vani"/>
          <w:b w:val="0"/>
          <w:i/>
          <w:color w:val="000000" w:themeColor="text1"/>
          <w:sz w:val="22"/>
          <w:szCs w:val="24"/>
        </w:rPr>
        <w:t>o: Opracowanie w</w:t>
      </w:r>
      <w:r w:rsidRPr="0018337E">
        <w:rPr>
          <w:rFonts w:ascii="Cambria Math" w:hAnsi="Cambria Math" w:cs="Calibri"/>
          <w:b w:val="0"/>
          <w:i/>
          <w:color w:val="000000" w:themeColor="text1"/>
          <w:sz w:val="22"/>
          <w:szCs w:val="24"/>
        </w:rPr>
        <w:t>ł</w:t>
      </w:r>
      <w:r>
        <w:rPr>
          <w:rFonts w:ascii="Cambria Math" w:hAnsi="Cambria Math" w:cs="Vani"/>
          <w:b w:val="0"/>
          <w:i/>
          <w:color w:val="000000" w:themeColor="text1"/>
          <w:sz w:val="22"/>
          <w:szCs w:val="24"/>
        </w:rPr>
        <w:t>asne na podstawie danych statystycznych.</w:t>
      </w:r>
    </w:p>
    <w:p w:rsidR="004A4C8F" w:rsidRPr="00B12A4C" w:rsidRDefault="004A4C8F" w:rsidP="00B12A4C">
      <w:pPr>
        <w:pStyle w:val="Nagwek2"/>
      </w:pPr>
      <w:bookmarkStart w:id="121" w:name="_Toc425192283"/>
      <w:bookmarkStart w:id="122" w:name="_Toc427675567"/>
      <w:bookmarkStart w:id="123" w:name="_Toc427734967"/>
      <w:r w:rsidRPr="00B12A4C">
        <w:t>Struktura mieszkaniowa</w:t>
      </w:r>
      <w:bookmarkEnd w:id="121"/>
      <w:bookmarkEnd w:id="122"/>
      <w:bookmarkEnd w:id="123"/>
    </w:p>
    <w:p w:rsidR="004A4C8F" w:rsidRPr="00353A52" w:rsidRDefault="004A4C8F" w:rsidP="00353A52">
      <w:pPr>
        <w:spacing w:line="360" w:lineRule="auto"/>
        <w:rPr>
          <w:rFonts w:ascii="Cambria Math" w:hAnsi="Cambria Math" w:cstheme="minorHAnsi"/>
          <w:sz w:val="24"/>
          <w:lang w:eastAsia="pl-PL"/>
        </w:rPr>
      </w:pPr>
      <w:r w:rsidRPr="00D37411">
        <w:rPr>
          <w:rFonts w:ascii="Cambria Math" w:hAnsi="Cambria Math" w:cstheme="minorHAnsi"/>
          <w:sz w:val="24"/>
        </w:rPr>
        <w:t xml:space="preserve">Na terenie gminy Strawczyn w 2013 roku odnotowano </w:t>
      </w:r>
      <w:r w:rsidRPr="00D37411">
        <w:rPr>
          <w:rFonts w:ascii="Cambria Math" w:hAnsi="Cambria Math" w:cstheme="minorHAnsi"/>
          <w:sz w:val="24"/>
          <w:lang w:eastAsia="pl-PL"/>
        </w:rPr>
        <w:t>2 503 mieszkań. Ich całkowita powierzchnia wynosiła 238 791 m</w:t>
      </w:r>
      <w:r w:rsidRPr="00D37411">
        <w:rPr>
          <w:rFonts w:ascii="Cambria Math" w:hAnsi="Cambria Math" w:cstheme="minorHAnsi"/>
          <w:sz w:val="24"/>
          <w:vertAlign w:val="superscript"/>
          <w:lang w:eastAsia="pl-PL"/>
        </w:rPr>
        <w:t>2</w:t>
      </w:r>
      <w:r w:rsidRPr="00D37411">
        <w:rPr>
          <w:rFonts w:ascii="Cambria Math" w:hAnsi="Cambria Math" w:cstheme="minorHAnsi"/>
          <w:sz w:val="24"/>
          <w:lang w:eastAsia="pl-PL"/>
        </w:rPr>
        <w:t xml:space="preserve">. </w:t>
      </w:r>
      <w:r w:rsidRPr="00D37411">
        <w:rPr>
          <w:rFonts w:ascii="Cambria Math" w:hAnsi="Cambria Math" w:cstheme="minorHAnsi"/>
          <w:i/>
          <w:sz w:val="24"/>
          <w:lang w:eastAsia="pl-PL"/>
        </w:rPr>
        <w:t>Wykres 3</w:t>
      </w:r>
      <w:r w:rsidRPr="00D37411">
        <w:rPr>
          <w:rFonts w:ascii="Cambria Math" w:hAnsi="Cambria Math" w:cstheme="minorHAnsi"/>
          <w:sz w:val="24"/>
          <w:lang w:eastAsia="pl-PL"/>
        </w:rPr>
        <w:t xml:space="preserve"> przedstawia zmiany liczby mieszkań na terenie Strawczyn. </w:t>
      </w:r>
    </w:p>
    <w:p w:rsidR="004A4C8F" w:rsidRPr="00921340" w:rsidRDefault="004A4C8F" w:rsidP="004A4C8F">
      <w:pPr>
        <w:rPr>
          <w:rFonts w:asciiTheme="minorHAnsi" w:hAnsiTheme="minorHAnsi" w:cstheme="minorHAnsi"/>
          <w:color w:val="000000" w:themeColor="text1"/>
          <w:sz w:val="24"/>
          <w:szCs w:val="24"/>
        </w:rPr>
      </w:pPr>
      <w:r>
        <w:rPr>
          <w:noProof/>
          <w:lang w:eastAsia="pl-PL"/>
        </w:rPr>
        <w:drawing>
          <wp:inline distT="0" distB="0" distL="0" distR="0">
            <wp:extent cx="5939790" cy="2348865"/>
            <wp:effectExtent l="0" t="0" r="3810" b="0"/>
            <wp:docPr id="10" name="Wykr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A4C8F" w:rsidRPr="0018337E" w:rsidRDefault="004A4C8F" w:rsidP="00353A52">
      <w:pPr>
        <w:jc w:val="right"/>
        <w:rPr>
          <w:rFonts w:ascii="Cambria Math" w:hAnsi="Cambria Math" w:cstheme="minorHAnsi"/>
          <w:b/>
          <w:szCs w:val="20"/>
        </w:rPr>
      </w:pPr>
      <w:bookmarkStart w:id="124" w:name="_Toc411948602"/>
      <w:bookmarkStart w:id="125" w:name="_Toc415736433"/>
      <w:bookmarkStart w:id="126" w:name="_Toc416255332"/>
      <w:bookmarkStart w:id="127" w:name="_Toc417385522"/>
      <w:bookmarkStart w:id="128" w:name="_Toc417896618"/>
      <w:bookmarkStart w:id="129" w:name="_Toc418500455"/>
      <w:bookmarkStart w:id="130" w:name="_Toc421380354"/>
      <w:bookmarkStart w:id="131" w:name="_Toc421708414"/>
      <w:bookmarkStart w:id="132" w:name="_Toc424043283"/>
      <w:bookmarkStart w:id="133" w:name="_Toc424564449"/>
      <w:bookmarkStart w:id="134" w:name="_Toc425194263"/>
      <w:bookmarkStart w:id="135" w:name="_Toc426012752"/>
      <w:bookmarkStart w:id="136" w:name="_Toc426465070"/>
      <w:bookmarkStart w:id="137" w:name="_Toc427675424"/>
      <w:r w:rsidRPr="0018337E">
        <w:rPr>
          <w:rFonts w:ascii="Cambria Math" w:hAnsi="Cambria Math" w:cstheme="minorHAnsi"/>
          <w:b/>
          <w:szCs w:val="20"/>
        </w:rPr>
        <w:t xml:space="preserve">Wykres </w:t>
      </w:r>
      <w:r w:rsidR="00A93FFF" w:rsidRPr="0018337E">
        <w:rPr>
          <w:rFonts w:ascii="Cambria Math" w:hAnsi="Cambria Math" w:cstheme="minorHAnsi"/>
          <w:b/>
          <w:szCs w:val="20"/>
        </w:rPr>
        <w:fldChar w:fldCharType="begin"/>
      </w:r>
      <w:r w:rsidRPr="0018337E">
        <w:rPr>
          <w:rFonts w:ascii="Cambria Math" w:hAnsi="Cambria Math" w:cstheme="minorHAnsi"/>
          <w:b/>
          <w:szCs w:val="20"/>
        </w:rPr>
        <w:instrText xml:space="preserve"> SEQ Wykres \* ARABIC </w:instrText>
      </w:r>
      <w:r w:rsidR="00A93FFF" w:rsidRPr="0018337E">
        <w:rPr>
          <w:rFonts w:ascii="Cambria Math" w:hAnsi="Cambria Math" w:cstheme="minorHAnsi"/>
          <w:b/>
          <w:szCs w:val="20"/>
        </w:rPr>
        <w:fldChar w:fldCharType="separate"/>
      </w:r>
      <w:r w:rsidR="00871648">
        <w:rPr>
          <w:rFonts w:ascii="Cambria Math" w:hAnsi="Cambria Math" w:cstheme="minorHAnsi"/>
          <w:b/>
          <w:noProof/>
          <w:szCs w:val="20"/>
        </w:rPr>
        <w:t>3</w:t>
      </w:r>
      <w:r w:rsidR="00A93FFF" w:rsidRPr="0018337E">
        <w:rPr>
          <w:rFonts w:ascii="Cambria Math" w:hAnsi="Cambria Math" w:cstheme="minorHAnsi"/>
          <w:b/>
          <w:szCs w:val="20"/>
        </w:rPr>
        <w:fldChar w:fldCharType="end"/>
      </w:r>
      <w:r w:rsidRPr="0018337E">
        <w:rPr>
          <w:rFonts w:ascii="Cambria Math" w:hAnsi="Cambria Math" w:cstheme="minorHAnsi"/>
          <w:b/>
          <w:szCs w:val="20"/>
        </w:rPr>
        <w:t xml:space="preserve">. </w:t>
      </w:r>
      <w:bookmarkEnd w:id="124"/>
      <w:bookmarkEnd w:id="125"/>
      <w:bookmarkEnd w:id="126"/>
      <w:bookmarkEnd w:id="127"/>
      <w:bookmarkEnd w:id="128"/>
      <w:bookmarkEnd w:id="129"/>
      <w:bookmarkEnd w:id="130"/>
      <w:bookmarkEnd w:id="131"/>
      <w:r w:rsidRPr="0018337E">
        <w:rPr>
          <w:rFonts w:ascii="Cambria Math" w:hAnsi="Cambria Math" w:cstheme="minorHAnsi"/>
          <w:b/>
          <w:szCs w:val="20"/>
        </w:rPr>
        <w:t xml:space="preserve">Zmiany liczby mieszkań na terenie gminy </w:t>
      </w:r>
      <w:r>
        <w:rPr>
          <w:rFonts w:ascii="Cambria Math" w:hAnsi="Cambria Math" w:cstheme="minorHAnsi"/>
          <w:b/>
          <w:szCs w:val="20"/>
        </w:rPr>
        <w:t>Strawczyn</w:t>
      </w:r>
      <w:r w:rsidRPr="0018337E">
        <w:rPr>
          <w:rFonts w:ascii="Cambria Math" w:hAnsi="Cambria Math" w:cstheme="minorHAnsi"/>
          <w:b/>
          <w:szCs w:val="20"/>
        </w:rPr>
        <w:t xml:space="preserve"> w latach 2000-2013.</w:t>
      </w:r>
      <w:bookmarkEnd w:id="132"/>
      <w:bookmarkEnd w:id="133"/>
      <w:bookmarkEnd w:id="134"/>
      <w:bookmarkEnd w:id="135"/>
      <w:bookmarkEnd w:id="136"/>
      <w:bookmarkEnd w:id="137"/>
    </w:p>
    <w:p w:rsidR="004A4C8F" w:rsidRPr="00B12A4C" w:rsidRDefault="004A4C8F" w:rsidP="00353A52">
      <w:pPr>
        <w:jc w:val="right"/>
        <w:rPr>
          <w:rFonts w:ascii="Cambria Math" w:hAnsi="Cambria Math" w:cstheme="minorHAnsi"/>
          <w:i/>
          <w:color w:val="000000" w:themeColor="text1"/>
          <w:szCs w:val="24"/>
        </w:rPr>
      </w:pPr>
      <w:r>
        <w:rPr>
          <w:rFonts w:ascii="Cambria Math" w:hAnsi="Cambria Math" w:cstheme="minorHAnsi"/>
          <w:i/>
          <w:color w:val="000000" w:themeColor="text1"/>
          <w:szCs w:val="24"/>
        </w:rPr>
        <w:t>Źródło: Bank Danych Lokalnych, GUS [2].</w:t>
      </w:r>
    </w:p>
    <w:p w:rsidR="004A4C8F" w:rsidRPr="00BC1AC9" w:rsidRDefault="004A4C8F" w:rsidP="004A4C8F">
      <w:pPr>
        <w:spacing w:line="360" w:lineRule="auto"/>
        <w:rPr>
          <w:rFonts w:ascii="Cambria Math" w:hAnsi="Cambria Math" w:cstheme="minorHAnsi"/>
          <w:sz w:val="24"/>
          <w:szCs w:val="24"/>
        </w:rPr>
      </w:pPr>
      <w:r w:rsidRPr="00BC1AC9">
        <w:rPr>
          <w:rFonts w:ascii="Cambria Math" w:hAnsi="Cambria Math" w:cstheme="minorHAnsi"/>
          <w:sz w:val="24"/>
          <w:szCs w:val="24"/>
        </w:rPr>
        <w:t xml:space="preserve">Z powyższego wykresu wynika, że liczba mieszkań na terenie gminy w latach 2000-2013 nieznacznie wzrasta. Średnioroczny trend zmian wyniósł 0,72%. Obserwując obecny </w:t>
      </w:r>
      <w:r w:rsidRPr="00BC1AC9">
        <w:rPr>
          <w:rFonts w:ascii="Cambria Math" w:hAnsi="Cambria Math" w:cstheme="minorHAnsi"/>
          <w:sz w:val="24"/>
          <w:szCs w:val="24"/>
        </w:rPr>
        <w:lastRenderedPageBreak/>
        <w:t xml:space="preserve">trend wyznaczono prognozę liczby mieszkań do roku 2020. Według tej prognozy w 2020 roku na terenie </w:t>
      </w:r>
      <w:r>
        <w:rPr>
          <w:rFonts w:ascii="Cambria Math" w:hAnsi="Cambria Math" w:cstheme="minorHAnsi"/>
          <w:sz w:val="24"/>
          <w:szCs w:val="24"/>
        </w:rPr>
        <w:t>Strawczyna</w:t>
      </w:r>
      <w:r w:rsidRPr="00BC1AC9">
        <w:rPr>
          <w:rFonts w:ascii="Cambria Math" w:hAnsi="Cambria Math" w:cstheme="minorHAnsi"/>
          <w:sz w:val="24"/>
          <w:szCs w:val="24"/>
        </w:rPr>
        <w:t xml:space="preserve"> będzie 2 686 mieszkań – </w:t>
      </w:r>
      <w:r w:rsidRPr="00BC1AC9">
        <w:rPr>
          <w:rFonts w:ascii="Cambria Math" w:hAnsi="Cambria Math" w:cstheme="minorHAnsi"/>
          <w:i/>
          <w:sz w:val="24"/>
          <w:szCs w:val="24"/>
        </w:rPr>
        <w:t>wykres 4.</w:t>
      </w:r>
    </w:p>
    <w:p w:rsidR="004A4C8F" w:rsidRPr="00921340" w:rsidRDefault="004A4C8F" w:rsidP="004A4C8F">
      <w:pPr>
        <w:keepNext/>
        <w:jc w:val="center"/>
        <w:rPr>
          <w:rFonts w:asciiTheme="minorHAnsi" w:hAnsiTheme="minorHAnsi" w:cstheme="minorHAnsi"/>
          <w:color w:val="000000" w:themeColor="text1"/>
          <w:sz w:val="24"/>
          <w:szCs w:val="24"/>
        </w:rPr>
      </w:pPr>
      <w:r>
        <w:rPr>
          <w:noProof/>
          <w:lang w:eastAsia="pl-PL"/>
        </w:rPr>
        <w:drawing>
          <wp:inline distT="0" distB="0" distL="0" distR="0">
            <wp:extent cx="6063343" cy="2536371"/>
            <wp:effectExtent l="0" t="0" r="0" b="0"/>
            <wp:docPr id="5" name="Wykres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4A4C8F" w:rsidRPr="00BC1AC9" w:rsidRDefault="004A4C8F" w:rsidP="00353A52">
      <w:pPr>
        <w:pStyle w:val="Legenda"/>
        <w:jc w:val="right"/>
        <w:rPr>
          <w:rFonts w:ascii="Cambria Math" w:hAnsi="Cambria Math" w:cstheme="minorHAnsi"/>
          <w:color w:val="000000" w:themeColor="text1"/>
          <w:sz w:val="22"/>
          <w:szCs w:val="24"/>
        </w:rPr>
      </w:pPr>
      <w:bookmarkStart w:id="138" w:name="_Toc411948603"/>
      <w:bookmarkStart w:id="139" w:name="_Toc415736434"/>
      <w:bookmarkStart w:id="140" w:name="_Toc416255333"/>
      <w:bookmarkStart w:id="141" w:name="_Toc417385523"/>
      <w:bookmarkStart w:id="142" w:name="_Toc417896619"/>
      <w:bookmarkStart w:id="143" w:name="_Toc418500456"/>
      <w:bookmarkStart w:id="144" w:name="_Toc421380355"/>
      <w:bookmarkStart w:id="145" w:name="_Toc421708415"/>
      <w:bookmarkStart w:id="146" w:name="_Toc424043284"/>
      <w:bookmarkStart w:id="147" w:name="_Toc424564450"/>
      <w:bookmarkStart w:id="148" w:name="_Toc425194264"/>
      <w:bookmarkStart w:id="149" w:name="_Toc426012753"/>
      <w:bookmarkStart w:id="150" w:name="_Toc426465071"/>
      <w:bookmarkStart w:id="151" w:name="_Toc427675425"/>
      <w:r w:rsidRPr="00BC1AC9">
        <w:rPr>
          <w:rFonts w:ascii="Cambria Math" w:hAnsi="Cambria Math" w:cstheme="minorHAnsi"/>
          <w:color w:val="000000" w:themeColor="text1"/>
          <w:sz w:val="22"/>
          <w:szCs w:val="24"/>
        </w:rPr>
        <w:t xml:space="preserve">Wykres </w:t>
      </w:r>
      <w:r w:rsidR="00A93FFF" w:rsidRPr="00BC1AC9">
        <w:rPr>
          <w:rFonts w:ascii="Cambria Math" w:hAnsi="Cambria Math" w:cstheme="minorHAnsi"/>
          <w:color w:val="000000" w:themeColor="text1"/>
          <w:sz w:val="22"/>
          <w:szCs w:val="24"/>
        </w:rPr>
        <w:fldChar w:fldCharType="begin"/>
      </w:r>
      <w:r w:rsidRPr="00BC1AC9">
        <w:rPr>
          <w:rFonts w:ascii="Cambria Math" w:hAnsi="Cambria Math" w:cstheme="minorHAnsi"/>
          <w:color w:val="000000" w:themeColor="text1"/>
          <w:sz w:val="22"/>
          <w:szCs w:val="24"/>
        </w:rPr>
        <w:instrText xml:space="preserve"> SEQ Wykres \* ARABIC </w:instrText>
      </w:r>
      <w:r w:rsidR="00A93FFF" w:rsidRPr="00BC1AC9">
        <w:rPr>
          <w:rFonts w:ascii="Cambria Math" w:hAnsi="Cambria Math" w:cstheme="minorHAnsi"/>
          <w:color w:val="000000" w:themeColor="text1"/>
          <w:sz w:val="22"/>
          <w:szCs w:val="24"/>
        </w:rPr>
        <w:fldChar w:fldCharType="separate"/>
      </w:r>
      <w:r w:rsidR="00871648">
        <w:rPr>
          <w:rFonts w:ascii="Cambria Math" w:hAnsi="Cambria Math" w:cstheme="minorHAnsi"/>
          <w:noProof/>
          <w:color w:val="000000" w:themeColor="text1"/>
          <w:sz w:val="22"/>
          <w:szCs w:val="24"/>
        </w:rPr>
        <w:t>4</w:t>
      </w:r>
      <w:r w:rsidR="00A93FFF" w:rsidRPr="00BC1AC9">
        <w:rPr>
          <w:rFonts w:ascii="Cambria Math" w:hAnsi="Cambria Math" w:cstheme="minorHAnsi"/>
          <w:color w:val="000000" w:themeColor="text1"/>
          <w:sz w:val="22"/>
          <w:szCs w:val="24"/>
        </w:rPr>
        <w:fldChar w:fldCharType="end"/>
      </w:r>
      <w:r w:rsidRPr="00BC1AC9">
        <w:rPr>
          <w:rFonts w:ascii="Cambria Math" w:hAnsi="Cambria Math" w:cstheme="minorHAnsi"/>
          <w:color w:val="000000" w:themeColor="text1"/>
          <w:sz w:val="22"/>
          <w:szCs w:val="24"/>
        </w:rPr>
        <w:t xml:space="preserve">. </w:t>
      </w:r>
      <w:bookmarkEnd w:id="138"/>
      <w:bookmarkEnd w:id="139"/>
      <w:bookmarkEnd w:id="140"/>
      <w:bookmarkEnd w:id="141"/>
      <w:bookmarkEnd w:id="142"/>
      <w:bookmarkEnd w:id="143"/>
      <w:bookmarkEnd w:id="144"/>
      <w:bookmarkEnd w:id="145"/>
      <w:r w:rsidRPr="00BC1AC9">
        <w:rPr>
          <w:rFonts w:ascii="Cambria Math" w:hAnsi="Cambria Math" w:cstheme="minorHAnsi"/>
          <w:color w:val="000000" w:themeColor="text1"/>
          <w:sz w:val="22"/>
          <w:szCs w:val="20"/>
        </w:rPr>
        <w:t>Zmiany liczby mieszkań na terenie gminy Strawczyn w latach 2000-2013 wraz z prognozą na lata 2014-2020.</w:t>
      </w:r>
      <w:bookmarkEnd w:id="146"/>
      <w:bookmarkEnd w:id="147"/>
      <w:bookmarkEnd w:id="148"/>
      <w:bookmarkEnd w:id="149"/>
      <w:bookmarkEnd w:id="150"/>
      <w:bookmarkEnd w:id="151"/>
    </w:p>
    <w:p w:rsidR="004A4C8F" w:rsidRPr="00BC1AC9" w:rsidRDefault="004A4C8F" w:rsidP="00353A52">
      <w:pPr>
        <w:pStyle w:val="Legenda"/>
        <w:jc w:val="right"/>
        <w:rPr>
          <w:rFonts w:ascii="Cambria Math" w:hAnsi="Cambria Math" w:cstheme="minorHAnsi"/>
          <w:b w:val="0"/>
          <w:color w:val="000000" w:themeColor="text1"/>
          <w:sz w:val="22"/>
          <w:szCs w:val="24"/>
        </w:rPr>
      </w:pPr>
      <w:r w:rsidRPr="00BC1AC9">
        <w:rPr>
          <w:rFonts w:ascii="Cambria Math" w:hAnsi="Cambria Math" w:cstheme="minorHAnsi"/>
          <w:b w:val="0"/>
          <w:i/>
          <w:color w:val="000000" w:themeColor="text1"/>
          <w:sz w:val="22"/>
          <w:szCs w:val="24"/>
        </w:rPr>
        <w:t>Źródło: Opracowanie własne na podstawie danych z BDL.</w:t>
      </w:r>
    </w:p>
    <w:p w:rsidR="00F511E8" w:rsidRPr="00F511E8" w:rsidRDefault="00F511E8" w:rsidP="00F511E8">
      <w:pPr>
        <w:spacing w:line="360" w:lineRule="auto"/>
        <w:rPr>
          <w:rFonts w:asciiTheme="minorHAnsi" w:hAnsiTheme="minorHAnsi" w:cstheme="minorHAnsi"/>
          <w:color w:val="FF0000"/>
          <w:sz w:val="24"/>
        </w:rPr>
      </w:pPr>
      <w:r w:rsidRPr="00BC1AC9">
        <w:rPr>
          <w:rFonts w:ascii="Cambria Math" w:hAnsi="Cambria Math" w:cstheme="minorHAnsi"/>
          <w:sz w:val="24"/>
        </w:rPr>
        <w:t xml:space="preserve">Na </w:t>
      </w:r>
      <w:r w:rsidRPr="00BC1AC9">
        <w:rPr>
          <w:rFonts w:ascii="Cambria Math" w:hAnsi="Cambria Math" w:cstheme="minorHAnsi"/>
          <w:i/>
          <w:sz w:val="24"/>
        </w:rPr>
        <w:t>wykresie 5</w:t>
      </w:r>
      <w:r w:rsidRPr="00BC1AC9">
        <w:rPr>
          <w:rFonts w:ascii="Cambria Math" w:hAnsi="Cambria Math" w:cstheme="minorHAnsi"/>
          <w:sz w:val="24"/>
        </w:rPr>
        <w:t xml:space="preserve"> przedstawiono liczbę nowopowstałych mieszkań w latach 2005-2013. Średniorocznie przybywa ok. 26 mieszkań na terenie gminy Strawczyn. W dwóch okresach zauważono wyższą liczbę nowopowstałych mieszkań, w roku - 52 nowych mieszkań oraz w roku 2013 – 40 nowych mieszkań</w:t>
      </w:r>
      <w:r w:rsidRPr="00BC1AC9">
        <w:rPr>
          <w:rFonts w:asciiTheme="minorHAnsi" w:hAnsiTheme="minorHAnsi" w:cstheme="minorHAnsi"/>
          <w:sz w:val="24"/>
        </w:rPr>
        <w:t>.</w:t>
      </w:r>
    </w:p>
    <w:p w:rsidR="00F511E8" w:rsidRPr="00921340" w:rsidRDefault="00F511E8" w:rsidP="00F511E8">
      <w:pPr>
        <w:keepNext/>
        <w:jc w:val="center"/>
        <w:rPr>
          <w:rFonts w:asciiTheme="minorHAnsi" w:hAnsiTheme="minorHAnsi" w:cstheme="minorHAnsi"/>
          <w:color w:val="000000" w:themeColor="text1"/>
          <w:sz w:val="24"/>
          <w:szCs w:val="24"/>
        </w:rPr>
      </w:pPr>
      <w:r>
        <w:rPr>
          <w:noProof/>
          <w:lang w:eastAsia="pl-PL"/>
        </w:rPr>
        <w:drawing>
          <wp:inline distT="0" distB="0" distL="0" distR="0">
            <wp:extent cx="6106886" cy="2718979"/>
            <wp:effectExtent l="0" t="0" r="8255" b="5715"/>
            <wp:docPr id="18" name="Wykres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F511E8" w:rsidRPr="00AC5B0A" w:rsidRDefault="00F511E8" w:rsidP="00353A52">
      <w:pPr>
        <w:pStyle w:val="Legenda"/>
        <w:jc w:val="right"/>
        <w:rPr>
          <w:rFonts w:ascii="Cambria Math" w:hAnsi="Cambria Math" w:cstheme="minorHAnsi"/>
          <w:color w:val="000000" w:themeColor="text1"/>
          <w:sz w:val="22"/>
          <w:szCs w:val="24"/>
        </w:rPr>
      </w:pPr>
      <w:bookmarkStart w:id="152" w:name="_Toc411948604"/>
      <w:bookmarkStart w:id="153" w:name="_Toc415736435"/>
      <w:bookmarkStart w:id="154" w:name="_Toc416255334"/>
      <w:bookmarkStart w:id="155" w:name="_Toc417385524"/>
      <w:bookmarkStart w:id="156" w:name="_Toc417896620"/>
      <w:bookmarkStart w:id="157" w:name="_Toc418500457"/>
      <w:bookmarkStart w:id="158" w:name="_Toc421380356"/>
      <w:bookmarkStart w:id="159" w:name="_Toc421708416"/>
      <w:bookmarkStart w:id="160" w:name="_Toc424043285"/>
      <w:bookmarkStart w:id="161" w:name="_Toc424564451"/>
      <w:bookmarkStart w:id="162" w:name="_Toc425194265"/>
      <w:bookmarkStart w:id="163" w:name="_Toc426012754"/>
      <w:bookmarkStart w:id="164" w:name="_Toc426465072"/>
      <w:bookmarkStart w:id="165" w:name="_Toc427675426"/>
      <w:r w:rsidRPr="00AC5B0A">
        <w:rPr>
          <w:rFonts w:ascii="Cambria Math" w:hAnsi="Cambria Math" w:cstheme="minorHAnsi"/>
          <w:color w:val="000000" w:themeColor="text1"/>
          <w:sz w:val="22"/>
          <w:szCs w:val="24"/>
        </w:rPr>
        <w:t xml:space="preserve">Wykres </w:t>
      </w:r>
      <w:r w:rsidR="00A93FFF" w:rsidRPr="00AC5B0A">
        <w:rPr>
          <w:rFonts w:ascii="Cambria Math" w:hAnsi="Cambria Math" w:cstheme="minorHAnsi"/>
          <w:color w:val="000000" w:themeColor="text1"/>
          <w:sz w:val="22"/>
          <w:szCs w:val="24"/>
        </w:rPr>
        <w:fldChar w:fldCharType="begin"/>
      </w:r>
      <w:r w:rsidRPr="00AC5B0A">
        <w:rPr>
          <w:rFonts w:ascii="Cambria Math" w:hAnsi="Cambria Math" w:cstheme="minorHAnsi"/>
          <w:color w:val="000000" w:themeColor="text1"/>
          <w:sz w:val="22"/>
          <w:szCs w:val="24"/>
        </w:rPr>
        <w:instrText xml:space="preserve"> SEQ Wykres \* ARABIC </w:instrText>
      </w:r>
      <w:r w:rsidR="00A93FFF" w:rsidRPr="00AC5B0A">
        <w:rPr>
          <w:rFonts w:ascii="Cambria Math" w:hAnsi="Cambria Math" w:cstheme="minorHAnsi"/>
          <w:color w:val="000000" w:themeColor="text1"/>
          <w:sz w:val="22"/>
          <w:szCs w:val="24"/>
        </w:rPr>
        <w:fldChar w:fldCharType="separate"/>
      </w:r>
      <w:r w:rsidR="00871648">
        <w:rPr>
          <w:rFonts w:ascii="Cambria Math" w:hAnsi="Cambria Math" w:cstheme="minorHAnsi"/>
          <w:noProof/>
          <w:color w:val="000000" w:themeColor="text1"/>
          <w:sz w:val="22"/>
          <w:szCs w:val="24"/>
        </w:rPr>
        <w:t>5</w:t>
      </w:r>
      <w:r w:rsidR="00A93FFF" w:rsidRPr="00AC5B0A">
        <w:rPr>
          <w:rFonts w:ascii="Cambria Math" w:hAnsi="Cambria Math" w:cstheme="minorHAnsi"/>
          <w:color w:val="000000" w:themeColor="text1"/>
          <w:sz w:val="22"/>
          <w:szCs w:val="24"/>
        </w:rPr>
        <w:fldChar w:fldCharType="end"/>
      </w:r>
      <w:r w:rsidRPr="00AC5B0A">
        <w:rPr>
          <w:rFonts w:ascii="Cambria Math" w:hAnsi="Cambria Math" w:cstheme="minorHAnsi"/>
          <w:color w:val="000000" w:themeColor="text1"/>
          <w:sz w:val="22"/>
          <w:szCs w:val="24"/>
        </w:rPr>
        <w:t xml:space="preserve">. Liczba nowych mieszkań oddanych do użytku na terenie gminy </w:t>
      </w:r>
      <w:bookmarkEnd w:id="152"/>
      <w:bookmarkEnd w:id="153"/>
      <w:bookmarkEnd w:id="154"/>
      <w:bookmarkEnd w:id="155"/>
      <w:bookmarkEnd w:id="156"/>
      <w:bookmarkEnd w:id="157"/>
      <w:bookmarkEnd w:id="158"/>
      <w:bookmarkEnd w:id="159"/>
      <w:bookmarkEnd w:id="160"/>
      <w:bookmarkEnd w:id="161"/>
      <w:r w:rsidRPr="00AC5B0A">
        <w:rPr>
          <w:rFonts w:ascii="Cambria Math" w:hAnsi="Cambria Math" w:cstheme="minorHAnsi"/>
          <w:color w:val="000000" w:themeColor="text1"/>
          <w:sz w:val="22"/>
          <w:szCs w:val="24"/>
        </w:rPr>
        <w:t>Strawczyn.</w:t>
      </w:r>
      <w:bookmarkEnd w:id="162"/>
      <w:bookmarkEnd w:id="163"/>
      <w:bookmarkEnd w:id="164"/>
      <w:bookmarkEnd w:id="165"/>
    </w:p>
    <w:p w:rsidR="00F511E8" w:rsidRPr="00AC5B0A" w:rsidRDefault="00F511E8" w:rsidP="00353A52">
      <w:pPr>
        <w:jc w:val="right"/>
        <w:rPr>
          <w:rFonts w:ascii="Cambria Math" w:hAnsi="Cambria Math" w:cstheme="minorHAnsi"/>
          <w:i/>
          <w:color w:val="000000" w:themeColor="text1"/>
          <w:szCs w:val="24"/>
        </w:rPr>
      </w:pPr>
      <w:r w:rsidRPr="00AC5B0A">
        <w:rPr>
          <w:rFonts w:ascii="Cambria Math" w:hAnsi="Cambria Math" w:cstheme="minorHAnsi"/>
          <w:i/>
          <w:color w:val="000000" w:themeColor="text1"/>
          <w:szCs w:val="24"/>
        </w:rPr>
        <w:t>Źródło: Bank Danych Lokalnych, GUS</w:t>
      </w:r>
      <w:r>
        <w:rPr>
          <w:rFonts w:ascii="Cambria Math" w:hAnsi="Cambria Math" w:cstheme="minorHAnsi"/>
          <w:i/>
          <w:color w:val="000000" w:themeColor="text1"/>
          <w:szCs w:val="24"/>
        </w:rPr>
        <w:t xml:space="preserve"> [3]</w:t>
      </w:r>
      <w:r w:rsidRPr="00AC5B0A">
        <w:rPr>
          <w:rFonts w:ascii="Cambria Math" w:hAnsi="Cambria Math" w:cstheme="minorHAnsi"/>
          <w:i/>
          <w:color w:val="000000" w:themeColor="text1"/>
          <w:szCs w:val="24"/>
        </w:rPr>
        <w:t>.</w:t>
      </w:r>
    </w:p>
    <w:p w:rsidR="00F511E8" w:rsidRPr="00BC1AC9" w:rsidRDefault="00F511E8" w:rsidP="00F511E8">
      <w:pPr>
        <w:spacing w:line="360" w:lineRule="auto"/>
        <w:rPr>
          <w:rFonts w:ascii="Cambria Math" w:hAnsi="Cambria Math" w:cstheme="minorHAnsi"/>
          <w:sz w:val="24"/>
        </w:rPr>
      </w:pPr>
      <w:r w:rsidRPr="00BC1AC9">
        <w:rPr>
          <w:rFonts w:ascii="Cambria Math" w:hAnsi="Cambria Math" w:cstheme="minorHAnsi"/>
          <w:sz w:val="24"/>
        </w:rPr>
        <w:lastRenderedPageBreak/>
        <w:t>Średnia powierzchnia 1 mieszkania na terenie gminy Strawczyn w roku 2013 wyniosła 95,4 m</w:t>
      </w:r>
      <w:r w:rsidRPr="00BC1AC9">
        <w:rPr>
          <w:rFonts w:ascii="Cambria Math" w:hAnsi="Cambria Math" w:cstheme="minorHAnsi"/>
          <w:sz w:val="24"/>
          <w:vertAlign w:val="superscript"/>
        </w:rPr>
        <w:t>2</w:t>
      </w:r>
      <w:r w:rsidRPr="00BC1AC9">
        <w:rPr>
          <w:rFonts w:ascii="Cambria Math" w:hAnsi="Cambria Math" w:cstheme="minorHAnsi"/>
          <w:sz w:val="24"/>
        </w:rPr>
        <w:t xml:space="preserve">. Na </w:t>
      </w:r>
      <w:r w:rsidRPr="00BC1AC9">
        <w:rPr>
          <w:rFonts w:ascii="Cambria Math" w:hAnsi="Cambria Math" w:cstheme="minorHAnsi"/>
          <w:i/>
          <w:sz w:val="24"/>
        </w:rPr>
        <w:t>wykresie 6</w:t>
      </w:r>
      <w:r w:rsidRPr="00BC1AC9">
        <w:rPr>
          <w:rFonts w:ascii="Cambria Math" w:hAnsi="Cambria Math" w:cstheme="minorHAnsi"/>
          <w:sz w:val="24"/>
        </w:rPr>
        <w:t xml:space="preserve"> zaznaczono zmiany średniej powierzchni 1 mieszkania [m</w:t>
      </w:r>
      <w:r w:rsidRPr="00BC1AC9">
        <w:rPr>
          <w:rFonts w:ascii="Cambria Math" w:hAnsi="Cambria Math" w:cstheme="minorHAnsi"/>
          <w:sz w:val="24"/>
          <w:vertAlign w:val="superscript"/>
        </w:rPr>
        <w:t>2</w:t>
      </w:r>
      <w:r w:rsidRPr="00BC1AC9">
        <w:rPr>
          <w:rFonts w:ascii="Cambria Math" w:hAnsi="Cambria Math" w:cstheme="minorHAnsi"/>
          <w:sz w:val="24"/>
        </w:rPr>
        <w:t>] na terenie gminy Strawczyn na przestrzeni lat 2002-2013. Średnioroczny trend zmian wyniósł 0,37 %. W 2002 roku średnia powierzchnia mieszkań  wyniosła około 89,7 m</w:t>
      </w:r>
      <w:r w:rsidRPr="00BC1AC9">
        <w:rPr>
          <w:rFonts w:ascii="Cambria Math" w:hAnsi="Cambria Math" w:cstheme="minorHAnsi"/>
          <w:sz w:val="24"/>
          <w:vertAlign w:val="superscript"/>
        </w:rPr>
        <w:t>2</w:t>
      </w:r>
      <w:r w:rsidRPr="00BC1AC9">
        <w:rPr>
          <w:rFonts w:ascii="Cambria Math" w:hAnsi="Cambria Math" w:cstheme="minorHAnsi"/>
          <w:sz w:val="24"/>
        </w:rPr>
        <w:t xml:space="preserve">. </w:t>
      </w:r>
    </w:p>
    <w:p w:rsidR="00F511E8" w:rsidRDefault="00F511E8" w:rsidP="00F511E8">
      <w:pPr>
        <w:keepNext/>
      </w:pPr>
      <w:r>
        <w:rPr>
          <w:noProof/>
          <w:lang w:eastAsia="pl-PL"/>
        </w:rPr>
        <w:drawing>
          <wp:inline distT="0" distB="0" distL="0" distR="0">
            <wp:extent cx="5833110" cy="2314575"/>
            <wp:effectExtent l="0" t="0" r="0" b="0"/>
            <wp:docPr id="20" name="Wykres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511E8" w:rsidRPr="00082945" w:rsidRDefault="00F511E8" w:rsidP="00353A52">
      <w:pPr>
        <w:pStyle w:val="Legenda"/>
        <w:jc w:val="right"/>
        <w:rPr>
          <w:rFonts w:ascii="Cambria Math" w:hAnsi="Cambria Math" w:cstheme="minorHAnsi"/>
          <w:color w:val="auto"/>
          <w:sz w:val="22"/>
        </w:rPr>
      </w:pPr>
      <w:bookmarkStart w:id="166" w:name="_Toc424043286"/>
      <w:bookmarkStart w:id="167" w:name="_Toc424564452"/>
      <w:bookmarkStart w:id="168" w:name="_Toc425194266"/>
      <w:bookmarkStart w:id="169" w:name="_Toc426012755"/>
      <w:bookmarkStart w:id="170" w:name="_Toc426465073"/>
      <w:bookmarkStart w:id="171" w:name="_Toc427675427"/>
      <w:r w:rsidRPr="00082945">
        <w:rPr>
          <w:rFonts w:ascii="Cambria Math" w:hAnsi="Cambria Math" w:cstheme="minorHAnsi"/>
          <w:color w:val="auto"/>
          <w:sz w:val="22"/>
        </w:rPr>
        <w:t xml:space="preserve">Wykres </w:t>
      </w:r>
      <w:r w:rsidR="00A93FFF" w:rsidRPr="00082945">
        <w:rPr>
          <w:rFonts w:ascii="Cambria Math" w:hAnsi="Cambria Math" w:cstheme="minorHAnsi"/>
          <w:color w:val="auto"/>
          <w:sz w:val="22"/>
        </w:rPr>
        <w:fldChar w:fldCharType="begin"/>
      </w:r>
      <w:r w:rsidRPr="00082945">
        <w:rPr>
          <w:rFonts w:ascii="Cambria Math" w:hAnsi="Cambria Math" w:cstheme="minorHAnsi"/>
          <w:color w:val="auto"/>
          <w:sz w:val="22"/>
        </w:rPr>
        <w:instrText xml:space="preserve"> SEQ Wykres \* ARABIC </w:instrText>
      </w:r>
      <w:r w:rsidR="00A93FFF" w:rsidRPr="00082945">
        <w:rPr>
          <w:rFonts w:ascii="Cambria Math" w:hAnsi="Cambria Math" w:cstheme="minorHAnsi"/>
          <w:color w:val="auto"/>
          <w:sz w:val="22"/>
        </w:rPr>
        <w:fldChar w:fldCharType="separate"/>
      </w:r>
      <w:r w:rsidR="00871648">
        <w:rPr>
          <w:rFonts w:ascii="Cambria Math" w:hAnsi="Cambria Math" w:cstheme="minorHAnsi"/>
          <w:noProof/>
          <w:color w:val="auto"/>
          <w:sz w:val="22"/>
        </w:rPr>
        <w:t>6</w:t>
      </w:r>
      <w:r w:rsidR="00A93FFF" w:rsidRPr="00082945">
        <w:rPr>
          <w:rFonts w:ascii="Cambria Math" w:hAnsi="Cambria Math" w:cstheme="minorHAnsi"/>
          <w:color w:val="auto"/>
          <w:sz w:val="22"/>
        </w:rPr>
        <w:fldChar w:fldCharType="end"/>
      </w:r>
      <w:r w:rsidRPr="00082945">
        <w:rPr>
          <w:rFonts w:ascii="Cambria Math" w:hAnsi="Cambria Math" w:cstheme="minorHAnsi"/>
          <w:color w:val="auto"/>
          <w:sz w:val="22"/>
        </w:rPr>
        <w:t xml:space="preserve">. Zmiana średniej powierzchni jednego mieszkania na przestrzeni lat na terenie gminy </w:t>
      </w:r>
      <w:bookmarkEnd w:id="166"/>
      <w:bookmarkEnd w:id="167"/>
      <w:r w:rsidRPr="00082945">
        <w:rPr>
          <w:rFonts w:ascii="Cambria Math" w:hAnsi="Cambria Math" w:cstheme="minorHAnsi"/>
          <w:color w:val="auto"/>
          <w:sz w:val="22"/>
        </w:rPr>
        <w:t>Strawczyn.</w:t>
      </w:r>
      <w:bookmarkEnd w:id="168"/>
      <w:bookmarkEnd w:id="169"/>
      <w:bookmarkEnd w:id="170"/>
      <w:bookmarkEnd w:id="171"/>
    </w:p>
    <w:p w:rsidR="00F511E8" w:rsidRPr="00082945" w:rsidRDefault="00F511E8" w:rsidP="00353A52">
      <w:pPr>
        <w:jc w:val="right"/>
        <w:rPr>
          <w:rFonts w:ascii="Cambria Math" w:hAnsi="Cambria Math" w:cstheme="minorHAnsi"/>
          <w:i/>
          <w:color w:val="000000" w:themeColor="text1"/>
          <w:szCs w:val="24"/>
        </w:rPr>
      </w:pPr>
      <w:r w:rsidRPr="00082945">
        <w:rPr>
          <w:rFonts w:ascii="Cambria Math" w:hAnsi="Cambria Math" w:cstheme="minorHAnsi"/>
          <w:i/>
          <w:color w:val="000000" w:themeColor="text1"/>
          <w:szCs w:val="24"/>
        </w:rPr>
        <w:t>Źródło: Bank Danych Lokalnych, GUS</w:t>
      </w:r>
      <w:r>
        <w:rPr>
          <w:rFonts w:ascii="Cambria Math" w:hAnsi="Cambria Math" w:cstheme="minorHAnsi"/>
          <w:i/>
          <w:color w:val="000000" w:themeColor="text1"/>
          <w:szCs w:val="24"/>
        </w:rPr>
        <w:t xml:space="preserve"> [4]</w:t>
      </w:r>
      <w:r w:rsidRPr="00082945">
        <w:rPr>
          <w:rFonts w:ascii="Cambria Math" w:hAnsi="Cambria Math" w:cstheme="minorHAnsi"/>
          <w:i/>
          <w:color w:val="000000" w:themeColor="text1"/>
          <w:szCs w:val="24"/>
        </w:rPr>
        <w:t>.</w:t>
      </w:r>
    </w:p>
    <w:p w:rsidR="00F511E8" w:rsidRPr="00AC5B0A" w:rsidRDefault="00F511E8" w:rsidP="00F511E8">
      <w:pPr>
        <w:rPr>
          <w:color w:val="FF0000"/>
        </w:rPr>
      </w:pPr>
    </w:p>
    <w:p w:rsidR="00F511E8" w:rsidRPr="00082945" w:rsidRDefault="00F511E8" w:rsidP="00F511E8">
      <w:pPr>
        <w:spacing w:line="360" w:lineRule="auto"/>
        <w:rPr>
          <w:rFonts w:ascii="Cambria Math" w:hAnsi="Cambria Math" w:cstheme="minorHAnsi"/>
          <w:sz w:val="24"/>
        </w:rPr>
      </w:pPr>
      <w:r w:rsidRPr="00082945">
        <w:rPr>
          <w:rFonts w:ascii="Cambria Math" w:hAnsi="Cambria Math" w:cstheme="minorHAnsi"/>
          <w:sz w:val="24"/>
        </w:rPr>
        <w:t xml:space="preserve">Na podstawie danych publikowanych w GUS wyznaczono prognozę średniej powierzchni użytkowej 1 mieszkania na lata 2014-2020 – </w:t>
      </w:r>
      <w:r w:rsidRPr="00082945">
        <w:rPr>
          <w:rFonts w:ascii="Cambria Math" w:hAnsi="Cambria Math" w:cstheme="minorHAnsi"/>
          <w:i/>
          <w:sz w:val="24"/>
        </w:rPr>
        <w:t>wykres 7</w:t>
      </w:r>
      <w:r w:rsidRPr="00082945">
        <w:rPr>
          <w:rFonts w:ascii="Cambria Math" w:hAnsi="Cambria Math" w:cstheme="minorHAnsi"/>
          <w:sz w:val="24"/>
        </w:rPr>
        <w:t>. Prognoza na rok 2020 pokazuje, iż średnia powierzchnia mieszkań wzrośnie do 96,0 m</w:t>
      </w:r>
      <w:r w:rsidRPr="00082945">
        <w:rPr>
          <w:rFonts w:ascii="Cambria Math" w:hAnsi="Cambria Math" w:cstheme="minorHAnsi"/>
          <w:sz w:val="24"/>
          <w:vertAlign w:val="superscript"/>
        </w:rPr>
        <w:t>2</w:t>
      </w:r>
      <w:r w:rsidRPr="00082945">
        <w:rPr>
          <w:rFonts w:ascii="Cambria Math" w:hAnsi="Cambria Math" w:cstheme="minorHAnsi"/>
          <w:sz w:val="24"/>
        </w:rPr>
        <w:t>.</w:t>
      </w:r>
    </w:p>
    <w:p w:rsidR="00F511E8" w:rsidRDefault="00F511E8" w:rsidP="00F511E8">
      <w:pPr>
        <w:keepNext/>
        <w:jc w:val="center"/>
      </w:pPr>
      <w:r>
        <w:rPr>
          <w:noProof/>
          <w:lang w:eastAsia="pl-PL"/>
        </w:rPr>
        <w:drawing>
          <wp:inline distT="0" distB="0" distL="0" distR="0">
            <wp:extent cx="6019800" cy="2536371"/>
            <wp:effectExtent l="0" t="0" r="0" b="0"/>
            <wp:docPr id="21" name="Wykres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F511E8" w:rsidRPr="00AC5B0A" w:rsidRDefault="00F511E8" w:rsidP="00353A52">
      <w:pPr>
        <w:pStyle w:val="Legenda"/>
        <w:jc w:val="right"/>
        <w:rPr>
          <w:rFonts w:ascii="Cambria Math" w:hAnsi="Cambria Math" w:cstheme="minorHAnsi"/>
          <w:color w:val="auto"/>
          <w:sz w:val="22"/>
          <w:szCs w:val="20"/>
        </w:rPr>
      </w:pPr>
      <w:bookmarkStart w:id="172" w:name="_Toc424043287"/>
      <w:bookmarkStart w:id="173" w:name="_Toc424564453"/>
      <w:bookmarkStart w:id="174" w:name="_Toc425194267"/>
      <w:bookmarkStart w:id="175" w:name="_Toc426012756"/>
      <w:bookmarkStart w:id="176" w:name="_Toc426465074"/>
      <w:bookmarkStart w:id="177" w:name="_Toc427675428"/>
      <w:r w:rsidRPr="00AC5B0A">
        <w:rPr>
          <w:rFonts w:ascii="Cambria Math" w:hAnsi="Cambria Math" w:cstheme="minorHAnsi"/>
          <w:color w:val="auto"/>
          <w:sz w:val="22"/>
          <w:szCs w:val="20"/>
        </w:rPr>
        <w:t xml:space="preserve">Wykres </w:t>
      </w:r>
      <w:r w:rsidR="00A93FFF" w:rsidRPr="00AC5B0A">
        <w:rPr>
          <w:rFonts w:ascii="Cambria Math" w:hAnsi="Cambria Math" w:cstheme="minorHAnsi"/>
          <w:color w:val="auto"/>
          <w:sz w:val="22"/>
          <w:szCs w:val="20"/>
        </w:rPr>
        <w:fldChar w:fldCharType="begin"/>
      </w:r>
      <w:r w:rsidRPr="00AC5B0A">
        <w:rPr>
          <w:rFonts w:ascii="Cambria Math" w:hAnsi="Cambria Math" w:cstheme="minorHAnsi"/>
          <w:color w:val="auto"/>
          <w:sz w:val="22"/>
          <w:szCs w:val="20"/>
        </w:rPr>
        <w:instrText xml:space="preserve"> SEQ Wykres \* ARABIC </w:instrText>
      </w:r>
      <w:r w:rsidR="00A93FFF" w:rsidRPr="00AC5B0A">
        <w:rPr>
          <w:rFonts w:ascii="Cambria Math" w:hAnsi="Cambria Math" w:cstheme="minorHAnsi"/>
          <w:color w:val="auto"/>
          <w:sz w:val="22"/>
          <w:szCs w:val="20"/>
        </w:rPr>
        <w:fldChar w:fldCharType="separate"/>
      </w:r>
      <w:r w:rsidR="00871648">
        <w:rPr>
          <w:rFonts w:ascii="Cambria Math" w:hAnsi="Cambria Math" w:cstheme="minorHAnsi"/>
          <w:noProof/>
          <w:color w:val="auto"/>
          <w:sz w:val="22"/>
          <w:szCs w:val="20"/>
        </w:rPr>
        <w:t>7</w:t>
      </w:r>
      <w:r w:rsidR="00A93FFF" w:rsidRPr="00AC5B0A">
        <w:rPr>
          <w:rFonts w:ascii="Cambria Math" w:hAnsi="Cambria Math" w:cstheme="minorHAnsi"/>
          <w:color w:val="auto"/>
          <w:sz w:val="22"/>
          <w:szCs w:val="20"/>
        </w:rPr>
        <w:fldChar w:fldCharType="end"/>
      </w:r>
      <w:r w:rsidRPr="00AC5B0A">
        <w:rPr>
          <w:rFonts w:ascii="Cambria Math" w:hAnsi="Cambria Math" w:cstheme="minorHAnsi"/>
          <w:color w:val="auto"/>
          <w:sz w:val="22"/>
          <w:szCs w:val="20"/>
        </w:rPr>
        <w:t>. Zmiany średniej powierzchni mieszkań na terenie gminy Strawczyn w latach 2002-2013 wraz z prognozą na lata 2014-2020.</w:t>
      </w:r>
      <w:bookmarkEnd w:id="172"/>
      <w:bookmarkEnd w:id="173"/>
      <w:bookmarkEnd w:id="174"/>
      <w:bookmarkEnd w:id="175"/>
      <w:bookmarkEnd w:id="176"/>
      <w:bookmarkEnd w:id="177"/>
    </w:p>
    <w:p w:rsidR="00F511E8" w:rsidRDefault="00F511E8" w:rsidP="00353A52">
      <w:pPr>
        <w:pStyle w:val="Legenda"/>
        <w:jc w:val="right"/>
        <w:rPr>
          <w:rFonts w:ascii="Cambria Math" w:hAnsi="Cambria Math" w:cstheme="minorHAnsi"/>
          <w:b w:val="0"/>
          <w:i/>
          <w:color w:val="000000" w:themeColor="text1"/>
          <w:sz w:val="22"/>
          <w:szCs w:val="24"/>
        </w:rPr>
      </w:pPr>
      <w:r w:rsidRPr="00AC5B0A">
        <w:rPr>
          <w:rFonts w:ascii="Cambria Math" w:hAnsi="Cambria Math" w:cstheme="minorHAnsi"/>
          <w:b w:val="0"/>
          <w:i/>
          <w:color w:val="000000" w:themeColor="text1"/>
          <w:sz w:val="22"/>
          <w:szCs w:val="24"/>
        </w:rPr>
        <w:t>Źródło: Opracowanie własne na podstawie danych z BDL.</w:t>
      </w:r>
    </w:p>
    <w:p w:rsidR="00B12A4C" w:rsidRPr="00B12A4C" w:rsidRDefault="00B12A4C" w:rsidP="00B12A4C"/>
    <w:p w:rsidR="00F511E8" w:rsidRPr="00082945" w:rsidRDefault="00F511E8" w:rsidP="00F511E8">
      <w:pPr>
        <w:spacing w:line="360" w:lineRule="auto"/>
      </w:pPr>
      <w:r w:rsidRPr="00082945">
        <w:t>Ogólna powierzchnia mieszkań [m</w:t>
      </w:r>
      <w:r w:rsidRPr="00082945">
        <w:rPr>
          <w:vertAlign w:val="superscript"/>
        </w:rPr>
        <w:t>2</w:t>
      </w:r>
      <w:r w:rsidRPr="00082945">
        <w:t xml:space="preserve">] na terenie gminy Strawczyn została przedstawiona na </w:t>
      </w:r>
      <w:r w:rsidRPr="00082945">
        <w:rPr>
          <w:i/>
        </w:rPr>
        <w:t xml:space="preserve">wykresie 8. </w:t>
      </w:r>
      <w:r w:rsidRPr="00082945">
        <w:t>Z roku na rok powierzchnia mieszkań wzrasta.</w:t>
      </w:r>
    </w:p>
    <w:p w:rsidR="00F511E8" w:rsidRPr="00921340" w:rsidRDefault="00F511E8" w:rsidP="00F511E8">
      <w:pPr>
        <w:keepNext/>
        <w:rPr>
          <w:rFonts w:asciiTheme="minorHAnsi" w:hAnsiTheme="minorHAnsi" w:cstheme="minorHAnsi"/>
          <w:color w:val="000000" w:themeColor="text1"/>
          <w:sz w:val="24"/>
          <w:szCs w:val="24"/>
        </w:rPr>
      </w:pPr>
      <w:r>
        <w:rPr>
          <w:noProof/>
          <w:lang w:eastAsia="pl-PL"/>
        </w:rPr>
        <w:drawing>
          <wp:inline distT="0" distB="0" distL="0" distR="0">
            <wp:extent cx="5848350" cy="2401570"/>
            <wp:effectExtent l="0" t="0" r="0" b="0"/>
            <wp:docPr id="22" name="Wykres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511E8" w:rsidRPr="00082945" w:rsidRDefault="00F511E8" w:rsidP="00353A52">
      <w:pPr>
        <w:pStyle w:val="Legenda"/>
        <w:jc w:val="right"/>
        <w:rPr>
          <w:rFonts w:ascii="Cambria Math" w:hAnsi="Cambria Math" w:cstheme="minorHAnsi"/>
          <w:color w:val="000000" w:themeColor="text1"/>
          <w:sz w:val="22"/>
          <w:szCs w:val="24"/>
        </w:rPr>
      </w:pPr>
      <w:bookmarkStart w:id="178" w:name="_Toc411948605"/>
      <w:bookmarkStart w:id="179" w:name="_Toc415736436"/>
      <w:bookmarkStart w:id="180" w:name="_Toc416255335"/>
      <w:bookmarkStart w:id="181" w:name="_Toc417385525"/>
      <w:bookmarkStart w:id="182" w:name="_Toc417896621"/>
      <w:bookmarkStart w:id="183" w:name="_Toc418500458"/>
      <w:bookmarkStart w:id="184" w:name="_Toc421380357"/>
      <w:bookmarkStart w:id="185" w:name="_Toc421708417"/>
      <w:bookmarkStart w:id="186" w:name="_Toc424043288"/>
      <w:bookmarkStart w:id="187" w:name="_Toc424564454"/>
      <w:bookmarkStart w:id="188" w:name="_Toc425194268"/>
      <w:bookmarkStart w:id="189" w:name="_Toc426012757"/>
      <w:bookmarkStart w:id="190" w:name="_Toc426465075"/>
      <w:bookmarkStart w:id="191" w:name="_Toc427675429"/>
      <w:r w:rsidRPr="00082945">
        <w:rPr>
          <w:rFonts w:ascii="Cambria Math" w:hAnsi="Cambria Math" w:cstheme="minorHAnsi"/>
          <w:color w:val="000000" w:themeColor="text1"/>
          <w:sz w:val="22"/>
          <w:szCs w:val="24"/>
        </w:rPr>
        <w:t xml:space="preserve">Wykres </w:t>
      </w:r>
      <w:r w:rsidR="00A93FFF" w:rsidRPr="00082945">
        <w:rPr>
          <w:rFonts w:ascii="Cambria Math" w:hAnsi="Cambria Math" w:cstheme="minorHAnsi"/>
          <w:color w:val="000000" w:themeColor="text1"/>
          <w:sz w:val="22"/>
          <w:szCs w:val="24"/>
        </w:rPr>
        <w:fldChar w:fldCharType="begin"/>
      </w:r>
      <w:r w:rsidRPr="00082945">
        <w:rPr>
          <w:rFonts w:ascii="Cambria Math" w:hAnsi="Cambria Math" w:cstheme="minorHAnsi"/>
          <w:color w:val="000000" w:themeColor="text1"/>
          <w:sz w:val="22"/>
          <w:szCs w:val="24"/>
        </w:rPr>
        <w:instrText xml:space="preserve"> SEQ Wykres \* ARABIC </w:instrText>
      </w:r>
      <w:r w:rsidR="00A93FFF" w:rsidRPr="00082945">
        <w:rPr>
          <w:rFonts w:ascii="Cambria Math" w:hAnsi="Cambria Math" w:cstheme="minorHAnsi"/>
          <w:color w:val="000000" w:themeColor="text1"/>
          <w:sz w:val="22"/>
          <w:szCs w:val="24"/>
        </w:rPr>
        <w:fldChar w:fldCharType="separate"/>
      </w:r>
      <w:r w:rsidR="00871648">
        <w:rPr>
          <w:rFonts w:ascii="Cambria Math" w:hAnsi="Cambria Math" w:cstheme="minorHAnsi"/>
          <w:noProof/>
          <w:color w:val="000000" w:themeColor="text1"/>
          <w:sz w:val="22"/>
          <w:szCs w:val="24"/>
        </w:rPr>
        <w:t>8</w:t>
      </w:r>
      <w:r w:rsidR="00A93FFF" w:rsidRPr="00082945">
        <w:rPr>
          <w:rFonts w:ascii="Cambria Math" w:hAnsi="Cambria Math" w:cstheme="minorHAnsi"/>
          <w:color w:val="000000" w:themeColor="text1"/>
          <w:sz w:val="22"/>
          <w:szCs w:val="24"/>
        </w:rPr>
        <w:fldChar w:fldCharType="end"/>
      </w:r>
      <w:r w:rsidRPr="00082945">
        <w:rPr>
          <w:rFonts w:ascii="Cambria Math" w:hAnsi="Cambria Math" w:cstheme="minorHAnsi"/>
          <w:color w:val="000000" w:themeColor="text1"/>
          <w:sz w:val="22"/>
          <w:szCs w:val="24"/>
        </w:rPr>
        <w:t xml:space="preserve">. Ogólna powierzchnia mieszkań na terenie gminy </w:t>
      </w:r>
      <w:bookmarkEnd w:id="178"/>
      <w:bookmarkEnd w:id="179"/>
      <w:bookmarkEnd w:id="180"/>
      <w:bookmarkEnd w:id="181"/>
      <w:bookmarkEnd w:id="182"/>
      <w:bookmarkEnd w:id="183"/>
      <w:bookmarkEnd w:id="184"/>
      <w:bookmarkEnd w:id="185"/>
      <w:bookmarkEnd w:id="186"/>
      <w:bookmarkEnd w:id="187"/>
      <w:r w:rsidRPr="00082945">
        <w:rPr>
          <w:rFonts w:ascii="Cambria Math" w:hAnsi="Cambria Math" w:cstheme="minorHAnsi"/>
          <w:color w:val="000000" w:themeColor="text1"/>
          <w:sz w:val="22"/>
          <w:szCs w:val="24"/>
        </w:rPr>
        <w:t>Strawczyn.</w:t>
      </w:r>
      <w:bookmarkEnd w:id="188"/>
      <w:bookmarkEnd w:id="189"/>
      <w:bookmarkEnd w:id="190"/>
      <w:bookmarkEnd w:id="191"/>
    </w:p>
    <w:p w:rsidR="00F511E8" w:rsidRDefault="00F511E8" w:rsidP="00353A52">
      <w:pPr>
        <w:jc w:val="right"/>
        <w:rPr>
          <w:rFonts w:ascii="Cambria Math" w:hAnsi="Cambria Math" w:cstheme="minorHAnsi"/>
          <w:i/>
          <w:color w:val="000000" w:themeColor="text1"/>
          <w:szCs w:val="24"/>
        </w:rPr>
      </w:pPr>
      <w:r>
        <w:rPr>
          <w:rFonts w:ascii="Cambria Math" w:hAnsi="Cambria Math" w:cstheme="minorHAnsi"/>
          <w:i/>
          <w:color w:val="000000" w:themeColor="text1"/>
          <w:szCs w:val="24"/>
        </w:rPr>
        <w:t>Źródło: Bank Danych Lokalnych, GUS [5].</w:t>
      </w:r>
    </w:p>
    <w:p w:rsidR="00F511E8" w:rsidRPr="00082945" w:rsidRDefault="00F511E8" w:rsidP="00F511E8">
      <w:pPr>
        <w:spacing w:line="360" w:lineRule="auto"/>
        <w:rPr>
          <w:rFonts w:ascii="Cambria Math" w:hAnsi="Cambria Math" w:cstheme="minorHAnsi"/>
          <w:i/>
          <w:sz w:val="24"/>
          <w:szCs w:val="24"/>
        </w:rPr>
      </w:pPr>
      <w:r w:rsidRPr="00082945">
        <w:rPr>
          <w:rFonts w:ascii="Cambria Math" w:hAnsi="Cambria Math" w:cstheme="minorHAnsi"/>
          <w:sz w:val="24"/>
          <w:szCs w:val="24"/>
        </w:rPr>
        <w:t>Biorąc pod uwagę trend zmian na przestrzeni lat 2000-2013 prognozuje się wzrost powierzchni użytkowych mieszkań [m</w:t>
      </w:r>
      <w:r w:rsidRPr="00082945">
        <w:rPr>
          <w:rFonts w:ascii="Cambria Math" w:hAnsi="Cambria Math" w:cstheme="minorHAnsi"/>
          <w:sz w:val="24"/>
          <w:szCs w:val="24"/>
          <w:vertAlign w:val="superscript"/>
        </w:rPr>
        <w:t>2</w:t>
      </w:r>
      <w:r w:rsidRPr="00082945">
        <w:rPr>
          <w:rFonts w:ascii="Cambria Math" w:hAnsi="Cambria Math" w:cstheme="minorHAnsi"/>
          <w:sz w:val="24"/>
          <w:szCs w:val="24"/>
        </w:rPr>
        <w:t>] na terenie gminy do 2020 r. Zgodnie z założoną prognozą przyjmuje się, że w 2020 r. powierzchnia mieszkań ogółem będzie wynosiła 257 705 m</w:t>
      </w:r>
      <w:r w:rsidRPr="00082945">
        <w:rPr>
          <w:rFonts w:ascii="Cambria Math" w:hAnsi="Cambria Math" w:cstheme="minorHAnsi"/>
          <w:sz w:val="24"/>
          <w:szCs w:val="24"/>
          <w:vertAlign w:val="superscript"/>
        </w:rPr>
        <w:t>2</w:t>
      </w:r>
      <w:r w:rsidRPr="00082945">
        <w:rPr>
          <w:rFonts w:ascii="Cambria Math" w:hAnsi="Cambria Math" w:cstheme="minorHAnsi"/>
          <w:sz w:val="24"/>
          <w:szCs w:val="24"/>
        </w:rPr>
        <w:t xml:space="preserve">. Prognozowana powierzchnia mieszkań została przedstawiona na </w:t>
      </w:r>
      <w:r w:rsidRPr="00082945">
        <w:rPr>
          <w:rFonts w:ascii="Cambria Math" w:hAnsi="Cambria Math" w:cstheme="minorHAnsi"/>
          <w:i/>
          <w:sz w:val="24"/>
          <w:szCs w:val="24"/>
        </w:rPr>
        <w:t>wykresie 9.</w:t>
      </w:r>
    </w:p>
    <w:p w:rsidR="00F511E8" w:rsidRDefault="00F511E8" w:rsidP="00F511E8">
      <w:pPr>
        <w:keepNext/>
      </w:pPr>
      <w:r>
        <w:rPr>
          <w:noProof/>
          <w:lang w:eastAsia="pl-PL"/>
        </w:rPr>
        <w:drawing>
          <wp:inline distT="0" distB="0" distL="0" distR="0">
            <wp:extent cx="6008915" cy="2590800"/>
            <wp:effectExtent l="0" t="0" r="0" b="0"/>
            <wp:docPr id="6" name="Wykres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511E8" w:rsidRPr="00C9756E" w:rsidRDefault="00F511E8" w:rsidP="00353A52">
      <w:pPr>
        <w:pStyle w:val="Legenda"/>
        <w:jc w:val="right"/>
        <w:rPr>
          <w:rFonts w:ascii="Cambria Math" w:hAnsi="Cambria Math" w:cstheme="minorHAnsi"/>
          <w:color w:val="auto"/>
          <w:sz w:val="22"/>
          <w:szCs w:val="22"/>
        </w:rPr>
      </w:pPr>
      <w:bookmarkStart w:id="192" w:name="_Toc424043289"/>
      <w:bookmarkStart w:id="193" w:name="_Toc424564455"/>
      <w:bookmarkStart w:id="194" w:name="_Toc425194269"/>
      <w:bookmarkStart w:id="195" w:name="_Toc426012758"/>
      <w:bookmarkStart w:id="196" w:name="_Toc426465076"/>
      <w:bookmarkStart w:id="197" w:name="_Toc427675430"/>
      <w:r w:rsidRPr="00C9756E">
        <w:rPr>
          <w:rFonts w:ascii="Cambria Math" w:hAnsi="Cambria Math" w:cstheme="minorHAnsi"/>
          <w:color w:val="auto"/>
          <w:sz w:val="22"/>
          <w:szCs w:val="22"/>
        </w:rPr>
        <w:t xml:space="preserve">Wykres </w:t>
      </w:r>
      <w:r w:rsidR="00A93FFF" w:rsidRPr="00C9756E">
        <w:rPr>
          <w:rFonts w:ascii="Cambria Math" w:hAnsi="Cambria Math" w:cstheme="minorHAnsi"/>
          <w:color w:val="auto"/>
          <w:sz w:val="22"/>
          <w:szCs w:val="22"/>
        </w:rPr>
        <w:fldChar w:fldCharType="begin"/>
      </w:r>
      <w:r w:rsidRPr="00C9756E">
        <w:rPr>
          <w:rFonts w:ascii="Cambria Math" w:hAnsi="Cambria Math" w:cstheme="minorHAnsi"/>
          <w:color w:val="auto"/>
          <w:sz w:val="22"/>
          <w:szCs w:val="22"/>
        </w:rPr>
        <w:instrText xml:space="preserve"> SEQ Wykres \* ARABIC </w:instrText>
      </w:r>
      <w:r w:rsidR="00A93FFF" w:rsidRPr="00C9756E">
        <w:rPr>
          <w:rFonts w:ascii="Cambria Math" w:hAnsi="Cambria Math" w:cstheme="minorHAnsi"/>
          <w:color w:val="auto"/>
          <w:sz w:val="22"/>
          <w:szCs w:val="22"/>
        </w:rPr>
        <w:fldChar w:fldCharType="separate"/>
      </w:r>
      <w:r w:rsidR="00871648">
        <w:rPr>
          <w:rFonts w:ascii="Cambria Math" w:hAnsi="Cambria Math" w:cstheme="minorHAnsi"/>
          <w:noProof/>
          <w:color w:val="auto"/>
          <w:sz w:val="22"/>
          <w:szCs w:val="22"/>
        </w:rPr>
        <w:t>9</w:t>
      </w:r>
      <w:r w:rsidR="00A93FFF" w:rsidRPr="00C9756E">
        <w:rPr>
          <w:rFonts w:ascii="Cambria Math" w:hAnsi="Cambria Math" w:cstheme="minorHAnsi"/>
          <w:color w:val="auto"/>
          <w:sz w:val="22"/>
          <w:szCs w:val="22"/>
        </w:rPr>
        <w:fldChar w:fldCharType="end"/>
      </w:r>
      <w:r w:rsidRPr="00C9756E">
        <w:rPr>
          <w:rFonts w:ascii="Cambria Math" w:hAnsi="Cambria Math" w:cstheme="minorHAnsi"/>
          <w:color w:val="auto"/>
          <w:sz w:val="22"/>
          <w:szCs w:val="22"/>
        </w:rPr>
        <w:t>. Zmiany ogólnej powierzchni mieszkań na terenie gminy Strawczyn</w:t>
      </w:r>
      <w:r>
        <w:rPr>
          <w:rFonts w:ascii="Cambria Math" w:hAnsi="Cambria Math" w:cstheme="minorHAnsi"/>
          <w:color w:val="auto"/>
          <w:sz w:val="22"/>
          <w:szCs w:val="22"/>
        </w:rPr>
        <w:t xml:space="preserve"> w latach 2000-2013 wraz </w:t>
      </w:r>
      <w:r w:rsidRPr="00C9756E">
        <w:rPr>
          <w:rFonts w:ascii="Cambria Math" w:hAnsi="Cambria Math" w:cstheme="minorHAnsi"/>
          <w:color w:val="auto"/>
          <w:sz w:val="22"/>
          <w:szCs w:val="22"/>
        </w:rPr>
        <w:t>z prognozą na lata 2014-2020.</w:t>
      </w:r>
      <w:bookmarkEnd w:id="192"/>
      <w:bookmarkEnd w:id="193"/>
      <w:bookmarkEnd w:id="194"/>
      <w:bookmarkEnd w:id="195"/>
      <w:bookmarkEnd w:id="196"/>
      <w:bookmarkEnd w:id="197"/>
    </w:p>
    <w:p w:rsidR="00F511E8" w:rsidRPr="00F511E8" w:rsidRDefault="00F511E8" w:rsidP="00353A52">
      <w:pPr>
        <w:pStyle w:val="Legenda"/>
        <w:jc w:val="right"/>
        <w:rPr>
          <w:rFonts w:ascii="Cambria Math" w:hAnsi="Cambria Math" w:cstheme="minorHAnsi"/>
          <w:b w:val="0"/>
          <w:color w:val="000000" w:themeColor="text1"/>
          <w:sz w:val="22"/>
          <w:szCs w:val="22"/>
        </w:rPr>
      </w:pPr>
      <w:r w:rsidRPr="00C9756E">
        <w:rPr>
          <w:rFonts w:ascii="Cambria Math" w:hAnsi="Cambria Math" w:cstheme="minorHAnsi"/>
          <w:b w:val="0"/>
          <w:i/>
          <w:color w:val="000000" w:themeColor="text1"/>
          <w:sz w:val="22"/>
          <w:szCs w:val="22"/>
        </w:rPr>
        <w:t>Źródło: Opracowanie własne na podstawie danych z BDL.</w:t>
      </w:r>
    </w:p>
    <w:p w:rsidR="00F511E8" w:rsidRDefault="00F511E8" w:rsidP="00F511E8">
      <w:pPr>
        <w:autoSpaceDE w:val="0"/>
        <w:autoSpaceDN w:val="0"/>
        <w:adjustRightInd w:val="0"/>
        <w:spacing w:after="0" w:line="360" w:lineRule="auto"/>
        <w:rPr>
          <w:rFonts w:ascii="Cambria Math" w:hAnsi="Cambria Math"/>
          <w:sz w:val="24"/>
          <w:szCs w:val="24"/>
          <w:lang w:eastAsia="pl-PL"/>
        </w:rPr>
      </w:pPr>
      <w:r w:rsidRPr="00082945">
        <w:rPr>
          <w:rFonts w:ascii="Cambria Math" w:hAnsi="Cambria Math"/>
          <w:sz w:val="24"/>
          <w:szCs w:val="24"/>
          <w:lang w:eastAsia="pl-PL"/>
        </w:rPr>
        <w:lastRenderedPageBreak/>
        <w:t>Korzystnie swoje warunki mieszkaniowe ocenia 59% respondentów, w tym 12% postrzega je jako bardzo dobre. Ocen</w:t>
      </w:r>
      <w:r w:rsidRPr="00082945">
        <w:rPr>
          <w:rFonts w:ascii="Cambria Math" w:eastAsia="TimesNewRoman" w:hAnsi="Cambria Math" w:cs="TimesNewRoman"/>
          <w:sz w:val="24"/>
          <w:szCs w:val="24"/>
          <w:lang w:eastAsia="pl-PL"/>
        </w:rPr>
        <w:t xml:space="preserve">ę </w:t>
      </w:r>
      <w:r w:rsidRPr="00082945">
        <w:rPr>
          <w:rFonts w:ascii="Cambria Math" w:hAnsi="Cambria Math"/>
          <w:i/>
          <w:iCs/>
          <w:sz w:val="24"/>
          <w:szCs w:val="24"/>
          <w:lang w:eastAsia="pl-PL"/>
        </w:rPr>
        <w:t xml:space="preserve">ani dobre ani złe </w:t>
      </w:r>
      <w:r w:rsidRPr="00082945">
        <w:rPr>
          <w:rFonts w:ascii="Cambria Math" w:hAnsi="Cambria Math"/>
          <w:sz w:val="24"/>
          <w:szCs w:val="24"/>
          <w:lang w:eastAsia="pl-PL"/>
        </w:rPr>
        <w:t>stawia ponad 28% badanych osób, a dla 14,5% s</w:t>
      </w:r>
      <w:r w:rsidRPr="00082945">
        <w:rPr>
          <w:rFonts w:ascii="Cambria Math" w:eastAsia="TimesNewRoman" w:hAnsi="Cambria Math" w:cs="TimesNewRoman"/>
          <w:sz w:val="24"/>
          <w:szCs w:val="24"/>
          <w:lang w:eastAsia="pl-PL"/>
        </w:rPr>
        <w:t xml:space="preserve">ą </w:t>
      </w:r>
      <w:r w:rsidRPr="00082945">
        <w:rPr>
          <w:rFonts w:ascii="Cambria Math" w:hAnsi="Cambria Math"/>
          <w:sz w:val="24"/>
          <w:szCs w:val="24"/>
          <w:lang w:eastAsia="pl-PL"/>
        </w:rPr>
        <w:t>alarmuj</w:t>
      </w:r>
      <w:r w:rsidRPr="00082945">
        <w:rPr>
          <w:rFonts w:ascii="Cambria Math" w:eastAsia="TimesNewRoman" w:hAnsi="Cambria Math" w:cs="TimesNewRoman"/>
          <w:sz w:val="24"/>
          <w:szCs w:val="24"/>
          <w:lang w:eastAsia="pl-PL"/>
        </w:rPr>
        <w:t>ą</w:t>
      </w:r>
      <w:r w:rsidRPr="00082945">
        <w:rPr>
          <w:rFonts w:ascii="Cambria Math" w:hAnsi="Cambria Math"/>
          <w:sz w:val="24"/>
          <w:szCs w:val="24"/>
          <w:lang w:eastAsia="pl-PL"/>
        </w:rPr>
        <w:t>ce, wymagaj</w:t>
      </w:r>
      <w:r w:rsidRPr="00082945">
        <w:rPr>
          <w:rFonts w:ascii="Cambria Math" w:eastAsia="TimesNewRoman" w:hAnsi="Cambria Math" w:cs="TimesNewRoman"/>
          <w:sz w:val="24"/>
          <w:szCs w:val="24"/>
          <w:lang w:eastAsia="pl-PL"/>
        </w:rPr>
        <w:t>ą</w:t>
      </w:r>
      <w:r w:rsidRPr="00082945">
        <w:rPr>
          <w:rFonts w:ascii="Cambria Math" w:hAnsi="Cambria Math"/>
          <w:sz w:val="24"/>
          <w:szCs w:val="24"/>
          <w:lang w:eastAsia="pl-PL"/>
        </w:rPr>
        <w:t>ce zmiany mieszkania ewentualnie remontów.</w:t>
      </w:r>
    </w:p>
    <w:p w:rsidR="004A4C8F" w:rsidRPr="00B12A4C" w:rsidRDefault="00F511E8" w:rsidP="00B12A4C">
      <w:pPr>
        <w:pStyle w:val="Nagwek2"/>
      </w:pPr>
      <w:bookmarkStart w:id="198" w:name="_Toc425192284"/>
      <w:bookmarkStart w:id="199" w:name="_Toc427675568"/>
      <w:bookmarkStart w:id="200" w:name="_Toc427734968"/>
      <w:r w:rsidRPr="00B12A4C">
        <w:t>Działalność gospodarcza</w:t>
      </w:r>
      <w:bookmarkEnd w:id="198"/>
      <w:bookmarkEnd w:id="199"/>
      <w:bookmarkEnd w:id="200"/>
    </w:p>
    <w:p w:rsidR="00F511E8" w:rsidRPr="00082945" w:rsidRDefault="00F511E8" w:rsidP="00F511E8">
      <w:pPr>
        <w:spacing w:line="360" w:lineRule="auto"/>
      </w:pPr>
      <w:r w:rsidRPr="00082945">
        <w:t>Łącznie w 2013 roku na terenie gminy Strawczyn odnotowano 722 aktywne podmioty gospodarcze. Liczba ta wzrosła o 52 w stosunku do roku poprzedniego. Średnioroczny trend wzrostowy wynosił 4,77</w:t>
      </w:r>
      <w:r>
        <w:t xml:space="preserve">% - </w:t>
      </w:r>
      <w:r w:rsidRPr="00072E74">
        <w:rPr>
          <w:i/>
        </w:rPr>
        <w:t>wykres 10.</w:t>
      </w:r>
      <w:r w:rsidRPr="00082945">
        <w:t>Około 45% ludności gminy zatrudnionych jest w rolnictwie.</w:t>
      </w:r>
    </w:p>
    <w:p w:rsidR="00F511E8" w:rsidRPr="00921340" w:rsidRDefault="00F511E8" w:rsidP="00F511E8">
      <w:pPr>
        <w:rPr>
          <w:color w:val="000000" w:themeColor="text1"/>
        </w:rPr>
      </w:pPr>
      <w:r>
        <w:rPr>
          <w:noProof/>
          <w:lang w:eastAsia="pl-PL"/>
        </w:rPr>
        <w:drawing>
          <wp:inline distT="0" distB="0" distL="0" distR="0">
            <wp:extent cx="5173345" cy="1920875"/>
            <wp:effectExtent l="0" t="0" r="0" b="0"/>
            <wp:docPr id="24" name="Wykres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F511E8" w:rsidRPr="00C9756E" w:rsidRDefault="00F511E8" w:rsidP="00353A52">
      <w:pPr>
        <w:pStyle w:val="Legenda"/>
        <w:jc w:val="right"/>
        <w:rPr>
          <w:rFonts w:ascii="Cambria Math" w:hAnsi="Cambria Math" w:cstheme="minorHAnsi"/>
          <w:color w:val="000000" w:themeColor="text1"/>
          <w:sz w:val="22"/>
          <w:szCs w:val="24"/>
        </w:rPr>
      </w:pPr>
      <w:bookmarkStart w:id="201" w:name="_Toc415736440"/>
      <w:bookmarkStart w:id="202" w:name="_Toc416255339"/>
      <w:bookmarkStart w:id="203" w:name="_Toc417385529"/>
      <w:bookmarkStart w:id="204" w:name="_Toc417896625"/>
      <w:bookmarkStart w:id="205" w:name="_Toc418500462"/>
      <w:bookmarkStart w:id="206" w:name="_Toc421380361"/>
      <w:bookmarkStart w:id="207" w:name="_Toc421708421"/>
      <w:bookmarkStart w:id="208" w:name="_Toc424043290"/>
      <w:bookmarkStart w:id="209" w:name="_Toc424564456"/>
      <w:bookmarkStart w:id="210" w:name="_Toc425194270"/>
      <w:bookmarkStart w:id="211" w:name="_Toc426012759"/>
      <w:bookmarkStart w:id="212" w:name="_Toc426465077"/>
      <w:bookmarkStart w:id="213" w:name="_Toc427675431"/>
      <w:r w:rsidRPr="00C9756E">
        <w:rPr>
          <w:rFonts w:ascii="Cambria Math" w:hAnsi="Cambria Math" w:cstheme="minorHAnsi"/>
          <w:color w:val="000000" w:themeColor="text1"/>
          <w:sz w:val="22"/>
          <w:szCs w:val="24"/>
        </w:rPr>
        <w:t xml:space="preserve">Wykres </w:t>
      </w:r>
      <w:r w:rsidR="00A93FFF" w:rsidRPr="00C9756E">
        <w:rPr>
          <w:rFonts w:ascii="Cambria Math" w:hAnsi="Cambria Math" w:cstheme="minorHAnsi"/>
          <w:color w:val="000000" w:themeColor="text1"/>
          <w:sz w:val="22"/>
          <w:szCs w:val="24"/>
        </w:rPr>
        <w:fldChar w:fldCharType="begin"/>
      </w:r>
      <w:r w:rsidRPr="00C9756E">
        <w:rPr>
          <w:rFonts w:ascii="Cambria Math" w:hAnsi="Cambria Math" w:cstheme="minorHAnsi"/>
          <w:color w:val="000000" w:themeColor="text1"/>
          <w:sz w:val="22"/>
          <w:szCs w:val="24"/>
        </w:rPr>
        <w:instrText xml:space="preserve"> SEQ Wykres \* ARABIC </w:instrText>
      </w:r>
      <w:r w:rsidR="00A93FFF" w:rsidRPr="00C9756E">
        <w:rPr>
          <w:rFonts w:ascii="Cambria Math" w:hAnsi="Cambria Math" w:cstheme="minorHAnsi"/>
          <w:color w:val="000000" w:themeColor="text1"/>
          <w:sz w:val="22"/>
          <w:szCs w:val="24"/>
        </w:rPr>
        <w:fldChar w:fldCharType="separate"/>
      </w:r>
      <w:r w:rsidR="00871648">
        <w:rPr>
          <w:rFonts w:ascii="Cambria Math" w:hAnsi="Cambria Math" w:cstheme="minorHAnsi"/>
          <w:noProof/>
          <w:color w:val="000000" w:themeColor="text1"/>
          <w:sz w:val="22"/>
          <w:szCs w:val="24"/>
        </w:rPr>
        <w:t>10</w:t>
      </w:r>
      <w:r w:rsidR="00A93FFF" w:rsidRPr="00C9756E">
        <w:rPr>
          <w:rFonts w:ascii="Cambria Math" w:hAnsi="Cambria Math" w:cstheme="minorHAnsi"/>
          <w:color w:val="000000" w:themeColor="text1"/>
          <w:sz w:val="22"/>
          <w:szCs w:val="24"/>
        </w:rPr>
        <w:fldChar w:fldCharType="end"/>
      </w:r>
      <w:r w:rsidRPr="00C9756E">
        <w:rPr>
          <w:rFonts w:ascii="Cambria Math" w:hAnsi="Cambria Math" w:cstheme="minorHAnsi"/>
          <w:color w:val="000000" w:themeColor="text1"/>
          <w:sz w:val="22"/>
          <w:szCs w:val="24"/>
        </w:rPr>
        <w:t>. Ilość podmiotów gospodarczych zarejestrowanyc</w:t>
      </w:r>
      <w:r>
        <w:rPr>
          <w:rFonts w:ascii="Cambria Math" w:hAnsi="Cambria Math" w:cstheme="minorHAnsi"/>
          <w:color w:val="000000" w:themeColor="text1"/>
          <w:sz w:val="22"/>
          <w:szCs w:val="24"/>
        </w:rPr>
        <w:t>h na terenie gminy w latach 2009</w:t>
      </w:r>
      <w:r w:rsidRPr="00C9756E">
        <w:rPr>
          <w:rFonts w:ascii="Cambria Math" w:hAnsi="Cambria Math" w:cstheme="minorHAnsi"/>
          <w:color w:val="000000" w:themeColor="text1"/>
          <w:sz w:val="22"/>
          <w:szCs w:val="24"/>
        </w:rPr>
        <w:t>-2013.</w:t>
      </w:r>
      <w:bookmarkEnd w:id="201"/>
      <w:bookmarkEnd w:id="202"/>
      <w:bookmarkEnd w:id="203"/>
      <w:bookmarkEnd w:id="204"/>
      <w:bookmarkEnd w:id="205"/>
      <w:bookmarkEnd w:id="206"/>
      <w:bookmarkEnd w:id="207"/>
      <w:bookmarkEnd w:id="208"/>
      <w:bookmarkEnd w:id="209"/>
      <w:bookmarkEnd w:id="210"/>
      <w:bookmarkEnd w:id="211"/>
      <w:bookmarkEnd w:id="212"/>
      <w:bookmarkEnd w:id="213"/>
    </w:p>
    <w:p w:rsidR="00F511E8" w:rsidRPr="00C9756E" w:rsidRDefault="00F511E8" w:rsidP="00353A52">
      <w:pPr>
        <w:ind w:left="850"/>
        <w:jc w:val="right"/>
        <w:rPr>
          <w:rFonts w:ascii="Cambria Math" w:hAnsi="Cambria Math" w:cstheme="minorHAnsi"/>
          <w:i/>
          <w:color w:val="000000" w:themeColor="text1"/>
          <w:szCs w:val="24"/>
        </w:rPr>
      </w:pPr>
      <w:r w:rsidRPr="00C9756E">
        <w:rPr>
          <w:rFonts w:ascii="Cambria Math" w:hAnsi="Cambria Math" w:cstheme="minorHAnsi"/>
          <w:i/>
          <w:color w:val="000000" w:themeColor="text1"/>
          <w:szCs w:val="24"/>
        </w:rPr>
        <w:t>Źródło: Bank danych lokalnych</w:t>
      </w:r>
      <w:r>
        <w:rPr>
          <w:rFonts w:ascii="Cambria Math" w:hAnsi="Cambria Math" w:cstheme="minorHAnsi"/>
          <w:i/>
          <w:color w:val="000000" w:themeColor="text1"/>
          <w:szCs w:val="24"/>
        </w:rPr>
        <w:t>, GUS [6]</w:t>
      </w:r>
      <w:r w:rsidRPr="00C9756E">
        <w:rPr>
          <w:rFonts w:ascii="Cambria Math" w:hAnsi="Cambria Math" w:cstheme="minorHAnsi"/>
          <w:i/>
          <w:color w:val="000000" w:themeColor="text1"/>
          <w:szCs w:val="24"/>
        </w:rPr>
        <w:t>.</w:t>
      </w:r>
    </w:p>
    <w:p w:rsidR="00F511E8" w:rsidRPr="00F511E8" w:rsidRDefault="00F511E8" w:rsidP="00F511E8">
      <w:pPr>
        <w:spacing w:line="360" w:lineRule="auto"/>
        <w:rPr>
          <w:i/>
        </w:rPr>
      </w:pPr>
      <w:r w:rsidRPr="00082945">
        <w:t xml:space="preserve">W strukturze branżowej zarejestrowanych w gminie firm dominują podmioty z sekcji G prowadzące działalność handlową  (28% wszystkich podmiotów gospodarczych). Stosunkowo duży procent zajmują także podmioty zajmujące się budownictwem (25% wszystkich podmiotów gospodarczych). Szczegółowy podział procentowy poszczególnych podmiotów wg sekcji PKD w roku 2013 przedstawiono w </w:t>
      </w:r>
      <w:r w:rsidRPr="00082945">
        <w:rPr>
          <w:i/>
        </w:rPr>
        <w:t>tabeli</w:t>
      </w:r>
      <w:r>
        <w:rPr>
          <w:i/>
        </w:rPr>
        <w:t xml:space="preserve"> 2</w:t>
      </w:r>
      <w:r w:rsidRPr="00082945">
        <w:rPr>
          <w:i/>
        </w:rPr>
        <w:t>.</w:t>
      </w:r>
    </w:p>
    <w:p w:rsidR="00F511E8" w:rsidRPr="00082945" w:rsidRDefault="00F511E8" w:rsidP="00F511E8">
      <w:pPr>
        <w:pStyle w:val="Legenda"/>
        <w:keepNext/>
        <w:jc w:val="center"/>
        <w:rPr>
          <w:rFonts w:ascii="Cambria Math" w:hAnsi="Cambria Math" w:cstheme="minorHAnsi"/>
          <w:color w:val="000000" w:themeColor="text1"/>
          <w:sz w:val="20"/>
        </w:rPr>
      </w:pPr>
      <w:bookmarkStart w:id="214" w:name="_Toc416255896"/>
      <w:bookmarkStart w:id="215" w:name="_Toc417385427"/>
      <w:bookmarkStart w:id="216" w:name="_Toc417896676"/>
      <w:bookmarkStart w:id="217" w:name="_Toc418500500"/>
      <w:bookmarkStart w:id="218" w:name="_Toc419725606"/>
      <w:bookmarkStart w:id="219" w:name="_Toc421380398"/>
      <w:bookmarkStart w:id="220" w:name="_Toc421708461"/>
      <w:bookmarkStart w:id="221" w:name="_Toc424043321"/>
      <w:bookmarkStart w:id="222" w:name="_Toc424564486"/>
      <w:bookmarkStart w:id="223" w:name="_Toc425194291"/>
      <w:bookmarkStart w:id="224" w:name="_Toc426012786"/>
      <w:bookmarkStart w:id="225" w:name="_Toc426465095"/>
      <w:bookmarkStart w:id="226" w:name="_Toc427675348"/>
      <w:r w:rsidRPr="00082945">
        <w:rPr>
          <w:rFonts w:ascii="Cambria Math" w:hAnsi="Cambria Math" w:cstheme="minorHAnsi"/>
          <w:color w:val="000000" w:themeColor="text1"/>
          <w:sz w:val="22"/>
        </w:rPr>
        <w:t xml:space="preserve">Tabela </w:t>
      </w:r>
      <w:r w:rsidR="00A93FFF" w:rsidRPr="00082945">
        <w:rPr>
          <w:rFonts w:ascii="Cambria Math" w:hAnsi="Cambria Math" w:cstheme="minorHAnsi"/>
          <w:color w:val="000000" w:themeColor="text1"/>
          <w:sz w:val="22"/>
        </w:rPr>
        <w:fldChar w:fldCharType="begin"/>
      </w:r>
      <w:r w:rsidRPr="00082945">
        <w:rPr>
          <w:rFonts w:ascii="Cambria Math" w:hAnsi="Cambria Math" w:cstheme="minorHAnsi"/>
          <w:color w:val="000000" w:themeColor="text1"/>
          <w:sz w:val="22"/>
        </w:rPr>
        <w:instrText xml:space="preserve"> SEQ Tabela \* ARABIC </w:instrText>
      </w:r>
      <w:r w:rsidR="00A93FFF" w:rsidRPr="00082945">
        <w:rPr>
          <w:rFonts w:ascii="Cambria Math" w:hAnsi="Cambria Math" w:cstheme="minorHAnsi"/>
          <w:color w:val="000000" w:themeColor="text1"/>
          <w:sz w:val="22"/>
        </w:rPr>
        <w:fldChar w:fldCharType="separate"/>
      </w:r>
      <w:r w:rsidR="00871648">
        <w:rPr>
          <w:rFonts w:ascii="Cambria Math" w:hAnsi="Cambria Math" w:cstheme="minorHAnsi"/>
          <w:noProof/>
          <w:color w:val="000000" w:themeColor="text1"/>
          <w:sz w:val="22"/>
        </w:rPr>
        <w:t>2</w:t>
      </w:r>
      <w:r w:rsidR="00A93FFF" w:rsidRPr="00082945">
        <w:rPr>
          <w:rFonts w:ascii="Cambria Math" w:hAnsi="Cambria Math" w:cstheme="minorHAnsi"/>
          <w:color w:val="000000" w:themeColor="text1"/>
          <w:sz w:val="22"/>
        </w:rPr>
        <w:fldChar w:fldCharType="end"/>
      </w:r>
      <w:r w:rsidRPr="00082945">
        <w:rPr>
          <w:rFonts w:ascii="Cambria Math" w:hAnsi="Cambria Math" w:cstheme="minorHAnsi"/>
          <w:color w:val="000000" w:themeColor="text1"/>
          <w:sz w:val="22"/>
        </w:rPr>
        <w:t>. Podmioty gospodarcze na terenie gminy Strawczyn wg sekcji PKD w roku 2013.</w:t>
      </w:r>
      <w:bookmarkEnd w:id="214"/>
      <w:bookmarkEnd w:id="215"/>
      <w:bookmarkEnd w:id="216"/>
      <w:bookmarkEnd w:id="217"/>
      <w:bookmarkEnd w:id="218"/>
      <w:bookmarkEnd w:id="219"/>
      <w:bookmarkEnd w:id="220"/>
      <w:bookmarkEnd w:id="221"/>
      <w:bookmarkEnd w:id="222"/>
      <w:bookmarkEnd w:id="223"/>
      <w:bookmarkEnd w:id="224"/>
      <w:bookmarkEnd w:id="225"/>
      <w:bookmarkEnd w:id="226"/>
    </w:p>
    <w:tbl>
      <w:tblPr>
        <w:tblStyle w:val="Tabelalisty3akcent11"/>
        <w:tblW w:w="0" w:type="auto"/>
        <w:jc w:val="center"/>
        <w:tblLayout w:type="fixed"/>
        <w:tblLook w:val="04A0"/>
      </w:tblPr>
      <w:tblGrid>
        <w:gridCol w:w="5783"/>
        <w:gridCol w:w="2275"/>
      </w:tblGrid>
      <w:tr w:rsidR="00F511E8" w:rsidRPr="00082945" w:rsidTr="006F68BE">
        <w:trPr>
          <w:cnfStyle w:val="100000000000"/>
          <w:trHeight w:val="594"/>
          <w:jc w:val="center"/>
        </w:trPr>
        <w:tc>
          <w:tcPr>
            <w:cnfStyle w:val="001000000100"/>
            <w:tcW w:w="5783" w:type="dxa"/>
            <w:tcBorders>
              <w:bottom w:val="single" w:sz="4" w:space="0" w:color="5B9BD5" w:themeColor="accent1"/>
              <w:right w:val="single" w:sz="4" w:space="0" w:color="2E74B5" w:themeColor="accent1" w:themeShade="BF"/>
            </w:tcBorders>
            <w:shd w:val="clear" w:color="auto" w:fill="2E74B5" w:themeFill="accent1" w:themeFillShade="BF"/>
            <w:vAlign w:val="center"/>
          </w:tcPr>
          <w:p w:rsidR="00F511E8" w:rsidRPr="00082945" w:rsidRDefault="00F511E8" w:rsidP="006F68BE">
            <w:pPr>
              <w:spacing w:before="20" w:after="60" w:line="276" w:lineRule="auto"/>
              <w:ind w:right="-682"/>
              <w:jc w:val="center"/>
              <w:rPr>
                <w:rFonts w:ascii="Cambria Math" w:hAnsi="Cambria Math"/>
              </w:rPr>
            </w:pPr>
            <w:r w:rsidRPr="00082945">
              <w:rPr>
                <w:rFonts w:ascii="Cambria Math" w:hAnsi="Cambria Math"/>
              </w:rPr>
              <w:t>Sekcja PKD</w:t>
            </w:r>
          </w:p>
        </w:tc>
        <w:tc>
          <w:tcPr>
            <w:tcW w:w="2275" w:type="dxa"/>
            <w:tcBorders>
              <w:left w:val="single" w:sz="4" w:space="0" w:color="2E74B5" w:themeColor="accent1" w:themeShade="BF"/>
            </w:tcBorders>
            <w:shd w:val="clear" w:color="auto" w:fill="2E74B5" w:themeFill="accent1" w:themeFillShade="BF"/>
            <w:vAlign w:val="center"/>
          </w:tcPr>
          <w:p w:rsidR="00F511E8" w:rsidRPr="00082945" w:rsidRDefault="00F511E8" w:rsidP="006F68BE">
            <w:pPr>
              <w:spacing w:before="20" w:after="60" w:line="276" w:lineRule="auto"/>
              <w:jc w:val="center"/>
              <w:cnfStyle w:val="100000000000"/>
              <w:rPr>
                <w:rFonts w:ascii="Cambria Math" w:hAnsi="Cambria Math"/>
              </w:rPr>
            </w:pPr>
            <w:r w:rsidRPr="00082945">
              <w:rPr>
                <w:rFonts w:ascii="Cambria Math" w:hAnsi="Cambria Math"/>
              </w:rPr>
              <w:t>gmina Strawczyn</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A – Rolnictwo, leśnictwo, łowiectwo i rybactwo</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20</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B – Górnictwo i wydobywanie</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0</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C – Przetwórstwo przemysłowe</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75</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D - Wytwarzanie i zaopatrywanie w energię elektryczną, gaz, parę wodną, gorącą wodę i powietrze do układów klimatyzacyjnych</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0</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E - Dostawa wody; gospodarowanie ściekami i odpadami oraz działalność związana z rekultywacją</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3</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lastRenderedPageBreak/>
              <w:t>F – Budownictwo</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181</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G - Handel hurtowy i detaliczny; naprawa pojazdów samochodowych</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203</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H – Transport i gospodarka magazynowa</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71</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I - Działalność związana z zakwaterowaniem i usługami gastronomicznymi</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19</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J – Informacja i komunikacja</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8</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K – Działalność finansowa i ubezpieczeniowa</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7</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L – Działalność związana z obsługą rynku nieruchomości</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6</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M – Działalność profesjonalna, naukowa i techniczna</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27</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N - Działalność w zakresie usług administrowania i działalność wspierająca</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6</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O - Administracja publiczna i obrona narodowa; obowiązkowe zabezpieczenia społeczne</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9</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P – Edukacja</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24</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Q – Opieka zdrowotna i pomoc społeczna</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14</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5B9BD5" w:themeColor="accent1"/>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R - Działalność związana z kulturą, rozrywką i rekreacją</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12</w:t>
            </w:r>
          </w:p>
        </w:tc>
      </w:tr>
      <w:tr w:rsidR="00F511E8" w:rsidRPr="00082945" w:rsidTr="006F68BE">
        <w:trPr>
          <w:cnfStyle w:val="000000100000"/>
          <w:trHeight w:val="57"/>
          <w:jc w:val="center"/>
        </w:trPr>
        <w:tc>
          <w:tcPr>
            <w:cnfStyle w:val="001000000000"/>
            <w:tcW w:w="5783" w:type="dxa"/>
            <w:tcBorders>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S - Pozostała działalność usługowa i T - Gospodarstwa domowe zatrudniające pracowników; gospodarstwa domowe produkujące wyroby i świadczące usługi na własne potrzeby</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100000"/>
              <w:rPr>
                <w:rFonts w:ascii="Cambria Math" w:hAnsi="Cambria Math"/>
              </w:rPr>
            </w:pPr>
            <w:r w:rsidRPr="00082945">
              <w:rPr>
                <w:rFonts w:ascii="Cambria Math" w:hAnsi="Cambria Math"/>
              </w:rPr>
              <w:t>37</w:t>
            </w:r>
          </w:p>
        </w:tc>
      </w:tr>
      <w:tr w:rsidR="00F511E8" w:rsidRPr="00082945" w:rsidTr="006F68BE">
        <w:trPr>
          <w:trHeight w:val="57"/>
          <w:jc w:val="center"/>
        </w:trPr>
        <w:tc>
          <w:tcPr>
            <w:cnfStyle w:val="001000000000"/>
            <w:tcW w:w="5783" w:type="dxa"/>
            <w:tcBorders>
              <w:top w:val="single" w:sz="4" w:space="0" w:color="5B9BD5" w:themeColor="accent1"/>
              <w:bottom w:val="single" w:sz="4" w:space="0" w:color="2E74B5" w:themeColor="accent1" w:themeShade="BF"/>
              <w:right w:val="single" w:sz="4" w:space="0" w:color="2E74B5" w:themeColor="accent1" w:themeShade="BF"/>
            </w:tcBorders>
            <w:vAlign w:val="center"/>
            <w:hideMark/>
          </w:tcPr>
          <w:p w:rsidR="00F511E8" w:rsidRPr="00082945" w:rsidRDefault="00F511E8" w:rsidP="006F68BE">
            <w:pPr>
              <w:spacing w:before="20" w:after="60" w:line="276" w:lineRule="auto"/>
              <w:jc w:val="center"/>
              <w:rPr>
                <w:rFonts w:ascii="Cambria Math" w:hAnsi="Cambria Math"/>
              </w:rPr>
            </w:pPr>
            <w:r w:rsidRPr="00082945">
              <w:rPr>
                <w:rFonts w:ascii="Cambria Math" w:hAnsi="Cambria Math"/>
              </w:rPr>
              <w:t>U – Organizacje i zespoły eksterytorialne</w:t>
            </w:r>
          </w:p>
        </w:tc>
        <w:tc>
          <w:tcPr>
            <w:tcW w:w="2275" w:type="dxa"/>
            <w:tcBorders>
              <w:left w:val="single" w:sz="4" w:space="0" w:color="2E74B5" w:themeColor="accent1" w:themeShade="BF"/>
            </w:tcBorders>
            <w:vAlign w:val="center"/>
          </w:tcPr>
          <w:p w:rsidR="00F511E8" w:rsidRPr="00082945" w:rsidRDefault="00F511E8" w:rsidP="006F68BE">
            <w:pPr>
              <w:spacing w:before="20" w:after="60" w:line="276" w:lineRule="auto"/>
              <w:jc w:val="center"/>
              <w:cnfStyle w:val="000000000000"/>
              <w:rPr>
                <w:rFonts w:ascii="Cambria Math" w:hAnsi="Cambria Math"/>
              </w:rPr>
            </w:pPr>
            <w:r w:rsidRPr="00082945">
              <w:rPr>
                <w:rFonts w:ascii="Cambria Math" w:hAnsi="Cambria Math"/>
              </w:rPr>
              <w:t>0</w:t>
            </w:r>
          </w:p>
        </w:tc>
      </w:tr>
    </w:tbl>
    <w:p w:rsidR="00F511E8" w:rsidRPr="00082945" w:rsidRDefault="00F511E8" w:rsidP="00F511E8">
      <w:pPr>
        <w:jc w:val="right"/>
        <w:rPr>
          <w:rFonts w:ascii="Cambria Math" w:hAnsi="Cambria Math" w:cstheme="minorHAnsi"/>
          <w:i/>
          <w:color w:val="000000" w:themeColor="text1"/>
          <w:szCs w:val="24"/>
        </w:rPr>
      </w:pPr>
      <w:bookmarkStart w:id="227" w:name="_Toc411948609"/>
      <w:r>
        <w:rPr>
          <w:rFonts w:ascii="Cambria Math" w:hAnsi="Cambria Math" w:cstheme="minorHAnsi"/>
          <w:i/>
          <w:color w:val="000000" w:themeColor="text1"/>
          <w:szCs w:val="24"/>
        </w:rPr>
        <w:t>Źródło: Opracowanie własne na podstawie danych z BDL [7].</w:t>
      </w:r>
    </w:p>
    <w:bookmarkEnd w:id="227"/>
    <w:p w:rsidR="00F511E8" w:rsidRPr="00072E74" w:rsidRDefault="00F511E8" w:rsidP="00F511E8">
      <w:pPr>
        <w:spacing w:line="360" w:lineRule="auto"/>
        <w:rPr>
          <w:rFonts w:ascii="Cambria Math" w:hAnsi="Cambria Math" w:cstheme="minorHAnsi"/>
          <w:color w:val="000000" w:themeColor="text1"/>
          <w:sz w:val="24"/>
          <w:szCs w:val="24"/>
        </w:rPr>
      </w:pPr>
      <w:r w:rsidRPr="00072E74">
        <w:rPr>
          <w:rFonts w:ascii="Cambria Math" w:hAnsi="Cambria Math" w:cstheme="minorHAnsi"/>
          <w:color w:val="000000" w:themeColor="text1"/>
          <w:sz w:val="24"/>
          <w:szCs w:val="24"/>
        </w:rPr>
        <w:t xml:space="preserve">Na </w:t>
      </w:r>
      <w:r w:rsidRPr="00072E74">
        <w:rPr>
          <w:rFonts w:ascii="Cambria Math" w:hAnsi="Cambria Math" w:cstheme="minorHAnsi"/>
          <w:i/>
          <w:color w:val="000000" w:themeColor="text1"/>
          <w:sz w:val="24"/>
          <w:szCs w:val="24"/>
        </w:rPr>
        <w:t>wykresie 11</w:t>
      </w:r>
      <w:r w:rsidRPr="00072E74">
        <w:rPr>
          <w:rFonts w:ascii="Cambria Math" w:hAnsi="Cambria Math" w:cstheme="minorHAnsi"/>
          <w:color w:val="000000" w:themeColor="text1"/>
          <w:sz w:val="24"/>
          <w:szCs w:val="24"/>
        </w:rPr>
        <w:t xml:space="preserve"> przedstawiono procentową strukturę zarejestrowanych podmiotów gospodarki narodowej wg sekcji PKD w roku 2013 w gminie Strawczyn.</w:t>
      </w:r>
    </w:p>
    <w:p w:rsidR="00F511E8" w:rsidRDefault="00F511E8" w:rsidP="00F511E8">
      <w:pPr>
        <w:rPr>
          <w:rFonts w:asciiTheme="minorHAnsi" w:hAnsiTheme="minorHAnsi" w:cstheme="minorHAnsi"/>
          <w:color w:val="000000" w:themeColor="text1"/>
          <w:sz w:val="24"/>
          <w:szCs w:val="24"/>
        </w:rPr>
      </w:pPr>
      <w:r w:rsidRPr="00F511E8">
        <w:rPr>
          <w:rFonts w:asciiTheme="minorHAnsi" w:hAnsiTheme="minorHAnsi" w:cstheme="minorHAnsi"/>
          <w:noProof/>
          <w:color w:val="000000" w:themeColor="text1"/>
          <w:sz w:val="24"/>
          <w:szCs w:val="24"/>
          <w:lang w:eastAsia="pl-PL"/>
        </w:rPr>
        <w:drawing>
          <wp:inline distT="0" distB="0" distL="0" distR="0">
            <wp:extent cx="5619750" cy="2790825"/>
            <wp:effectExtent l="0" t="0" r="0" b="0"/>
            <wp:docPr id="8" name="Wykres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511E8" w:rsidRDefault="00F511E8" w:rsidP="00F511E8">
      <w:pPr>
        <w:keepNext/>
      </w:pPr>
    </w:p>
    <w:p w:rsidR="00F511E8" w:rsidRPr="00072E74" w:rsidRDefault="00F511E8" w:rsidP="00353A52">
      <w:pPr>
        <w:pStyle w:val="Legenda"/>
        <w:jc w:val="right"/>
        <w:rPr>
          <w:rFonts w:ascii="Cambria Math" w:hAnsi="Cambria Math"/>
          <w:color w:val="auto"/>
          <w:sz w:val="22"/>
        </w:rPr>
      </w:pPr>
      <w:bookmarkStart w:id="228" w:name="_Toc425194271"/>
      <w:bookmarkStart w:id="229" w:name="_Toc426012760"/>
      <w:bookmarkStart w:id="230" w:name="_Toc426465078"/>
      <w:bookmarkStart w:id="231" w:name="_Toc427675432"/>
      <w:r w:rsidRPr="00072E74">
        <w:rPr>
          <w:rFonts w:ascii="Cambria Math" w:hAnsi="Cambria Math"/>
          <w:color w:val="auto"/>
          <w:sz w:val="22"/>
        </w:rPr>
        <w:t xml:space="preserve">Wykres </w:t>
      </w:r>
      <w:r w:rsidR="00A93FFF" w:rsidRPr="00072E74">
        <w:rPr>
          <w:rFonts w:ascii="Cambria Math" w:hAnsi="Cambria Math"/>
          <w:color w:val="auto"/>
          <w:sz w:val="22"/>
        </w:rPr>
        <w:fldChar w:fldCharType="begin"/>
      </w:r>
      <w:r w:rsidRPr="00072E74">
        <w:rPr>
          <w:rFonts w:ascii="Cambria Math" w:hAnsi="Cambria Math"/>
          <w:color w:val="auto"/>
          <w:sz w:val="22"/>
        </w:rPr>
        <w:instrText xml:space="preserve"> SEQ Wykres \* ARABIC </w:instrText>
      </w:r>
      <w:r w:rsidR="00A93FFF" w:rsidRPr="00072E74">
        <w:rPr>
          <w:rFonts w:ascii="Cambria Math" w:hAnsi="Cambria Math"/>
          <w:color w:val="auto"/>
          <w:sz w:val="22"/>
        </w:rPr>
        <w:fldChar w:fldCharType="separate"/>
      </w:r>
      <w:r w:rsidR="00871648">
        <w:rPr>
          <w:rFonts w:ascii="Cambria Math" w:hAnsi="Cambria Math"/>
          <w:noProof/>
          <w:color w:val="auto"/>
          <w:sz w:val="22"/>
        </w:rPr>
        <w:t>11</w:t>
      </w:r>
      <w:r w:rsidR="00A93FFF" w:rsidRPr="00072E74">
        <w:rPr>
          <w:rFonts w:ascii="Cambria Math" w:hAnsi="Cambria Math"/>
          <w:color w:val="auto"/>
          <w:sz w:val="22"/>
        </w:rPr>
        <w:fldChar w:fldCharType="end"/>
      </w:r>
      <w:r w:rsidRPr="00072E74">
        <w:rPr>
          <w:rFonts w:ascii="Cambria Math" w:hAnsi="Cambria Math"/>
          <w:color w:val="auto"/>
          <w:sz w:val="22"/>
        </w:rPr>
        <w:t>. Struktura procentowa zarejestrowanych firm wg sekcji PKD w roku 2013</w:t>
      </w:r>
      <w:r>
        <w:rPr>
          <w:rFonts w:ascii="Cambria Math" w:hAnsi="Cambria Math"/>
          <w:color w:val="auto"/>
          <w:sz w:val="22"/>
        </w:rPr>
        <w:t>.</w:t>
      </w:r>
      <w:bookmarkEnd w:id="228"/>
      <w:bookmarkEnd w:id="229"/>
      <w:bookmarkEnd w:id="230"/>
      <w:bookmarkEnd w:id="231"/>
    </w:p>
    <w:p w:rsidR="00F511E8" w:rsidRPr="006C4F0B" w:rsidRDefault="00F511E8" w:rsidP="00353A52">
      <w:pPr>
        <w:ind w:left="850"/>
        <w:jc w:val="right"/>
        <w:rPr>
          <w:rFonts w:ascii="Cambria Math" w:hAnsi="Cambria Math" w:cstheme="minorHAnsi"/>
          <w:i/>
          <w:color w:val="000000" w:themeColor="text1"/>
        </w:rPr>
      </w:pPr>
      <w:r w:rsidRPr="006C4F0B">
        <w:rPr>
          <w:rFonts w:ascii="Cambria Math" w:hAnsi="Cambria Math" w:cstheme="minorHAnsi"/>
          <w:i/>
          <w:color w:val="000000" w:themeColor="text1"/>
        </w:rPr>
        <w:lastRenderedPageBreak/>
        <w:t>Źródło: Opracowanie własne na podstawie danych z BDL</w:t>
      </w:r>
      <w:r>
        <w:rPr>
          <w:rFonts w:ascii="Cambria Math" w:hAnsi="Cambria Math" w:cstheme="minorHAnsi"/>
          <w:i/>
          <w:color w:val="000000" w:themeColor="text1"/>
        </w:rPr>
        <w:t xml:space="preserve"> [7]</w:t>
      </w:r>
      <w:r w:rsidRPr="006C4F0B">
        <w:rPr>
          <w:rFonts w:ascii="Cambria Math" w:hAnsi="Cambria Math" w:cstheme="minorHAnsi"/>
          <w:i/>
          <w:color w:val="000000" w:themeColor="text1"/>
        </w:rPr>
        <w:t>.</w:t>
      </w:r>
    </w:p>
    <w:p w:rsidR="00F511E8" w:rsidRPr="00346380" w:rsidRDefault="00F511E8" w:rsidP="00346380">
      <w:pPr>
        <w:spacing w:line="360" w:lineRule="auto"/>
        <w:rPr>
          <w:rFonts w:ascii="Cambria Math" w:hAnsi="Cambria Math" w:cstheme="minorHAnsi"/>
          <w:color w:val="000000" w:themeColor="text1"/>
          <w:sz w:val="24"/>
          <w:szCs w:val="24"/>
        </w:rPr>
      </w:pPr>
      <w:r w:rsidRPr="00082945">
        <w:rPr>
          <w:rFonts w:ascii="Cambria Math" w:hAnsi="Cambria Math" w:cstheme="minorHAnsi"/>
          <w:color w:val="000000" w:themeColor="text1"/>
          <w:sz w:val="24"/>
          <w:szCs w:val="24"/>
        </w:rPr>
        <w:t xml:space="preserve">Prognoza ilości podmiotów gospodarczych na terenie gminy będzie przewidywała dalszy wzrost do roku 2020 przedstawiony na </w:t>
      </w:r>
      <w:r>
        <w:rPr>
          <w:rFonts w:ascii="Cambria Math" w:hAnsi="Cambria Math" w:cstheme="minorHAnsi"/>
          <w:i/>
          <w:color w:val="000000" w:themeColor="text1"/>
          <w:sz w:val="24"/>
          <w:szCs w:val="24"/>
        </w:rPr>
        <w:t>wykresie 12</w:t>
      </w:r>
      <w:r w:rsidRPr="00082945">
        <w:rPr>
          <w:rFonts w:ascii="Cambria Math" w:hAnsi="Cambria Math" w:cstheme="minorHAnsi"/>
          <w:color w:val="000000" w:themeColor="text1"/>
          <w:sz w:val="24"/>
          <w:szCs w:val="24"/>
        </w:rPr>
        <w:t xml:space="preserve">. </w:t>
      </w:r>
    </w:p>
    <w:p w:rsidR="00F511E8" w:rsidRPr="00921340" w:rsidRDefault="00F511E8" w:rsidP="00F511E8">
      <w:pPr>
        <w:rPr>
          <w:rFonts w:asciiTheme="minorHAnsi" w:hAnsiTheme="minorHAnsi" w:cstheme="minorHAnsi"/>
          <w:color w:val="000000" w:themeColor="text1"/>
          <w:sz w:val="24"/>
          <w:szCs w:val="24"/>
        </w:rPr>
      </w:pPr>
      <w:r>
        <w:rPr>
          <w:noProof/>
          <w:lang w:eastAsia="pl-PL"/>
        </w:rPr>
        <w:drawing>
          <wp:inline distT="0" distB="0" distL="0" distR="0">
            <wp:extent cx="5521325" cy="2849245"/>
            <wp:effectExtent l="0" t="0" r="0" b="0"/>
            <wp:docPr id="43"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F511E8" w:rsidRPr="006C4F0B" w:rsidRDefault="00F511E8" w:rsidP="00353A52">
      <w:pPr>
        <w:pStyle w:val="Legenda"/>
        <w:jc w:val="right"/>
        <w:rPr>
          <w:rFonts w:ascii="Cambria Math" w:hAnsi="Cambria Math" w:cstheme="minorHAnsi"/>
          <w:color w:val="000000" w:themeColor="text1"/>
          <w:sz w:val="22"/>
          <w:szCs w:val="22"/>
        </w:rPr>
      </w:pPr>
      <w:bookmarkStart w:id="232" w:name="_Toc411948610"/>
      <w:bookmarkStart w:id="233" w:name="_Toc415736441"/>
      <w:bookmarkStart w:id="234" w:name="_Toc416255340"/>
      <w:bookmarkStart w:id="235" w:name="_Toc417385530"/>
      <w:bookmarkStart w:id="236" w:name="_Toc417896626"/>
      <w:bookmarkStart w:id="237" w:name="_Toc418500463"/>
      <w:bookmarkStart w:id="238" w:name="_Toc421380362"/>
      <w:bookmarkStart w:id="239" w:name="_Toc421708422"/>
      <w:bookmarkStart w:id="240" w:name="_Toc424043291"/>
      <w:bookmarkStart w:id="241" w:name="_Toc424564457"/>
      <w:bookmarkStart w:id="242" w:name="_Toc425194272"/>
      <w:bookmarkStart w:id="243" w:name="_Toc426012761"/>
      <w:bookmarkStart w:id="244" w:name="_Toc426465079"/>
      <w:bookmarkStart w:id="245" w:name="_Toc427675433"/>
      <w:r w:rsidRPr="006C4F0B">
        <w:rPr>
          <w:rFonts w:ascii="Cambria Math" w:hAnsi="Cambria Math" w:cstheme="minorHAnsi"/>
          <w:color w:val="000000" w:themeColor="text1"/>
          <w:sz w:val="22"/>
          <w:szCs w:val="22"/>
        </w:rPr>
        <w:t xml:space="preserve">Wykres </w:t>
      </w:r>
      <w:r w:rsidR="00A93FFF" w:rsidRPr="006C4F0B">
        <w:rPr>
          <w:rFonts w:ascii="Cambria Math" w:hAnsi="Cambria Math" w:cstheme="minorHAnsi"/>
          <w:color w:val="000000" w:themeColor="text1"/>
          <w:sz w:val="22"/>
          <w:szCs w:val="22"/>
        </w:rPr>
        <w:fldChar w:fldCharType="begin"/>
      </w:r>
      <w:r w:rsidRPr="006C4F0B">
        <w:rPr>
          <w:rFonts w:ascii="Cambria Math" w:hAnsi="Cambria Math" w:cstheme="minorHAnsi"/>
          <w:color w:val="000000" w:themeColor="text1"/>
          <w:sz w:val="22"/>
          <w:szCs w:val="22"/>
        </w:rPr>
        <w:instrText xml:space="preserve"> SEQ Wykres \* ARABIC </w:instrText>
      </w:r>
      <w:r w:rsidR="00A93FFF" w:rsidRPr="006C4F0B">
        <w:rPr>
          <w:rFonts w:ascii="Cambria Math" w:hAnsi="Cambria Math" w:cstheme="minorHAnsi"/>
          <w:color w:val="000000" w:themeColor="text1"/>
          <w:sz w:val="22"/>
          <w:szCs w:val="22"/>
        </w:rPr>
        <w:fldChar w:fldCharType="separate"/>
      </w:r>
      <w:r w:rsidR="00871648">
        <w:rPr>
          <w:rFonts w:ascii="Cambria Math" w:hAnsi="Cambria Math" w:cstheme="minorHAnsi"/>
          <w:noProof/>
          <w:color w:val="000000" w:themeColor="text1"/>
          <w:sz w:val="22"/>
          <w:szCs w:val="22"/>
        </w:rPr>
        <w:t>12</w:t>
      </w:r>
      <w:r w:rsidR="00A93FFF" w:rsidRPr="006C4F0B">
        <w:rPr>
          <w:rFonts w:ascii="Cambria Math" w:hAnsi="Cambria Math" w:cstheme="minorHAnsi"/>
          <w:color w:val="000000" w:themeColor="text1"/>
          <w:sz w:val="22"/>
          <w:szCs w:val="22"/>
        </w:rPr>
        <w:fldChar w:fldCharType="end"/>
      </w:r>
      <w:r w:rsidRPr="006C4F0B">
        <w:rPr>
          <w:rFonts w:ascii="Cambria Math" w:hAnsi="Cambria Math" w:cstheme="minorHAnsi"/>
          <w:color w:val="000000" w:themeColor="text1"/>
          <w:sz w:val="22"/>
          <w:szCs w:val="22"/>
        </w:rPr>
        <w:t>. Prognoza ilości podmiotów gospodarczych zarejestrowanych na terenie gminy do roku 2020.</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rsidR="00F511E8" w:rsidRPr="006C4F0B" w:rsidRDefault="00F511E8" w:rsidP="00353A52">
      <w:pPr>
        <w:ind w:left="850"/>
        <w:jc w:val="right"/>
        <w:rPr>
          <w:rFonts w:ascii="Cambria Math" w:hAnsi="Cambria Math" w:cstheme="minorHAnsi"/>
          <w:i/>
          <w:color w:val="000000" w:themeColor="text1"/>
        </w:rPr>
      </w:pPr>
      <w:r w:rsidRPr="006C4F0B">
        <w:rPr>
          <w:rFonts w:ascii="Cambria Math" w:hAnsi="Cambria Math" w:cstheme="minorHAnsi"/>
          <w:i/>
          <w:color w:val="000000" w:themeColor="text1"/>
        </w:rPr>
        <w:t>Źródło: Opracowanie własne na podstawie danych z BDL.</w:t>
      </w:r>
    </w:p>
    <w:p w:rsidR="00F511E8" w:rsidRPr="00346380" w:rsidRDefault="00F511E8" w:rsidP="00346380">
      <w:pPr>
        <w:pStyle w:val="Nagwek1"/>
      </w:pPr>
      <w:bookmarkStart w:id="246" w:name="_Toc427566524"/>
      <w:bookmarkStart w:id="247" w:name="_Toc427675569"/>
      <w:bookmarkStart w:id="248" w:name="_Toc427734969"/>
      <w:r w:rsidRPr="00346380">
        <w:t>Zaopatrzenie w ciepło</w:t>
      </w:r>
      <w:bookmarkEnd w:id="246"/>
      <w:bookmarkEnd w:id="247"/>
      <w:bookmarkEnd w:id="248"/>
    </w:p>
    <w:p w:rsidR="009136E1" w:rsidRPr="00346380" w:rsidRDefault="00112E4A" w:rsidP="00346380">
      <w:pPr>
        <w:pStyle w:val="Nagwek2"/>
      </w:pPr>
      <w:bookmarkStart w:id="249" w:name="_Toc427566525"/>
      <w:bookmarkStart w:id="250" w:name="_Toc427675570"/>
      <w:bookmarkStart w:id="251" w:name="_Toc427734970"/>
      <w:r w:rsidRPr="00346380">
        <w:t>Charakterystyka stanu istniejącego</w:t>
      </w:r>
      <w:bookmarkEnd w:id="249"/>
      <w:bookmarkEnd w:id="250"/>
      <w:bookmarkEnd w:id="251"/>
    </w:p>
    <w:p w:rsidR="00112E4A" w:rsidRDefault="00112E4A" w:rsidP="007E54AB">
      <w:pPr>
        <w:spacing w:line="360" w:lineRule="auto"/>
        <w:rPr>
          <w:rFonts w:cs="Arial"/>
          <w:bCs/>
          <w:color w:val="000000"/>
          <w:lang w:eastAsia="pl-PL"/>
        </w:rPr>
      </w:pPr>
      <w:r w:rsidRPr="00112E4A">
        <w:t xml:space="preserve">Na terenie Gminy nie funkcjonuje miejska sieć ciepłownicza. Budynki mieszkalne opalane są w indywidualnych kotłowniach. Większość budynków jako źródło ciepła wykorzystuje węgiel oraz </w:t>
      </w:r>
      <w:proofErr w:type="spellStart"/>
      <w:r w:rsidRPr="00112E4A">
        <w:t>ekogroszek</w:t>
      </w:r>
      <w:proofErr w:type="spellEnd"/>
      <w:r w:rsidRPr="00112E4A">
        <w:t>. Mniejszą część stanowią paliwa gazowe, olej opałowy oraz energia elektryczna. Aby określić zużycie paliw na cele grzewcze na terenie gminy Troszyn przeprowadzono badanie ankietowe, które objęło ok. 10% wszystkich budynków mieszkalnych. Wśród ankietowanych budynków 100% było opalanych węglem kamiennym zamiennie z biomasą. Zapotrzebowanie na energię cieplną w budynkach mieszkalnych zostało oszacowane na podstawie danych GUS, które mówią, że aby ogrzać 1m</w:t>
      </w:r>
      <w:r w:rsidRPr="00112E4A">
        <w:rPr>
          <w:vertAlign w:val="superscript"/>
        </w:rPr>
        <w:t>2</w:t>
      </w:r>
      <w:r w:rsidRPr="00112E4A">
        <w:t xml:space="preserve"> powierzchni potrzeba 0,821 GJ. Zapotrzebowanie na energię cieplną budynk</w:t>
      </w:r>
      <w:r w:rsidR="007E54AB">
        <w:t>ów mieszkalnych w Gminie Strawczyn w 2014</w:t>
      </w:r>
      <w:r w:rsidRPr="00112E4A">
        <w:t xml:space="preserve"> roku wyniosło </w:t>
      </w:r>
      <w:r w:rsidR="007E54AB" w:rsidRPr="007E54AB">
        <w:t>121444,8</w:t>
      </w:r>
      <w:r w:rsidRPr="00112E4A">
        <w:rPr>
          <w:rFonts w:cs="Arial"/>
          <w:bCs/>
          <w:color w:val="000000"/>
          <w:lang w:eastAsia="pl-PL"/>
        </w:rPr>
        <w:t xml:space="preserve"> GJ.</w:t>
      </w:r>
    </w:p>
    <w:p w:rsidR="007A3AD0" w:rsidRDefault="007E54AB" w:rsidP="007A3AD0">
      <w:pPr>
        <w:keepNext/>
        <w:spacing w:line="360" w:lineRule="auto"/>
        <w:jc w:val="center"/>
      </w:pPr>
      <w:r w:rsidRPr="007E54AB">
        <w:rPr>
          <w:rFonts w:cs="Arial"/>
          <w:bCs/>
          <w:noProof/>
          <w:color w:val="000000"/>
          <w:lang w:eastAsia="pl-PL"/>
        </w:rPr>
        <w:lastRenderedPageBreak/>
        <w:drawing>
          <wp:inline distT="0" distB="0" distL="0" distR="0">
            <wp:extent cx="4625340" cy="2981325"/>
            <wp:effectExtent l="19050" t="0" r="22860" b="0"/>
            <wp:docPr id="27"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E54AB" w:rsidRPr="007A3AD0" w:rsidRDefault="00353A52" w:rsidP="00353A52">
      <w:pPr>
        <w:pStyle w:val="Legenda"/>
        <w:jc w:val="right"/>
        <w:rPr>
          <w:color w:val="auto"/>
        </w:rPr>
      </w:pPr>
      <w:bookmarkStart w:id="252" w:name="_Toc427675434"/>
      <w:r>
        <w:rPr>
          <w:color w:val="auto"/>
        </w:rPr>
        <w:t>W</w:t>
      </w:r>
      <w:r w:rsidR="007A3AD0" w:rsidRPr="007A3AD0">
        <w:rPr>
          <w:color w:val="auto"/>
        </w:rPr>
        <w:t xml:space="preserve">ykres </w:t>
      </w:r>
      <w:r w:rsidR="00A93FFF" w:rsidRPr="007A3AD0">
        <w:rPr>
          <w:color w:val="auto"/>
        </w:rPr>
        <w:fldChar w:fldCharType="begin"/>
      </w:r>
      <w:r w:rsidR="007A3AD0" w:rsidRPr="007A3AD0">
        <w:rPr>
          <w:color w:val="auto"/>
        </w:rPr>
        <w:instrText xml:space="preserve"> SEQ wykres \* ARABIC </w:instrText>
      </w:r>
      <w:r w:rsidR="00A93FFF" w:rsidRPr="007A3AD0">
        <w:rPr>
          <w:color w:val="auto"/>
        </w:rPr>
        <w:fldChar w:fldCharType="separate"/>
      </w:r>
      <w:r w:rsidR="00871648">
        <w:rPr>
          <w:noProof/>
          <w:color w:val="auto"/>
        </w:rPr>
        <w:t>13</w:t>
      </w:r>
      <w:r w:rsidR="00A93FFF" w:rsidRPr="007A3AD0">
        <w:rPr>
          <w:color w:val="auto"/>
        </w:rPr>
        <w:fldChar w:fldCharType="end"/>
      </w:r>
      <w:r w:rsidR="007A3AD0" w:rsidRPr="007A3AD0">
        <w:rPr>
          <w:color w:val="auto"/>
        </w:rPr>
        <w:t>. Struktura wykorzystania paliw i energii na cele grzewcze w gminie Strawczyn (opracowanie własne na podstawie badania ankietowego oraz danych GUS)</w:t>
      </w:r>
      <w:bookmarkEnd w:id="252"/>
    </w:p>
    <w:p w:rsidR="007A3AD0" w:rsidRPr="00353A52" w:rsidRDefault="007E54AB" w:rsidP="00353A52">
      <w:pPr>
        <w:pStyle w:val="Legenda"/>
        <w:keepNext/>
        <w:spacing w:line="360" w:lineRule="auto"/>
        <w:rPr>
          <w:b w:val="0"/>
          <w:color w:val="auto"/>
          <w:sz w:val="22"/>
        </w:rPr>
      </w:pPr>
      <w:r>
        <w:rPr>
          <w:b w:val="0"/>
          <w:color w:val="auto"/>
          <w:sz w:val="22"/>
        </w:rPr>
        <w:t xml:space="preserve">W poniższe tabeli zestawiono obiekty użyteczności publicznej wraz z wskazaniem źródła ciepła. Dominującym nośnikiem energii wykorzystywanym na cele grzewcze </w:t>
      </w:r>
      <w:r w:rsidR="00E871F6">
        <w:rPr>
          <w:b w:val="0"/>
          <w:color w:val="auto"/>
          <w:sz w:val="22"/>
        </w:rPr>
        <w:t>są paliwa stałe</w:t>
      </w:r>
      <w:r w:rsidR="007A3AD0">
        <w:rPr>
          <w:b w:val="0"/>
          <w:color w:val="auto"/>
          <w:sz w:val="22"/>
        </w:rPr>
        <w:t>.</w:t>
      </w:r>
    </w:p>
    <w:p w:rsidR="00E871F6" w:rsidRPr="00E871F6" w:rsidRDefault="00E871F6" w:rsidP="00E871F6">
      <w:pPr>
        <w:pStyle w:val="Legenda"/>
        <w:keepNext/>
        <w:rPr>
          <w:color w:val="auto"/>
        </w:rPr>
      </w:pPr>
      <w:bookmarkStart w:id="253" w:name="_Toc427675349"/>
      <w:r w:rsidRPr="00E871F6">
        <w:rPr>
          <w:color w:val="auto"/>
        </w:rPr>
        <w:t xml:space="preserve">Tabela </w:t>
      </w:r>
      <w:r w:rsidR="00A93FFF" w:rsidRPr="00E871F6">
        <w:rPr>
          <w:color w:val="auto"/>
        </w:rPr>
        <w:fldChar w:fldCharType="begin"/>
      </w:r>
      <w:r w:rsidRPr="00E871F6">
        <w:rPr>
          <w:color w:val="auto"/>
        </w:rPr>
        <w:instrText xml:space="preserve"> SEQ Tabela \* ARABIC </w:instrText>
      </w:r>
      <w:r w:rsidR="00A93FFF" w:rsidRPr="00E871F6">
        <w:rPr>
          <w:color w:val="auto"/>
        </w:rPr>
        <w:fldChar w:fldCharType="separate"/>
      </w:r>
      <w:r w:rsidR="00871648">
        <w:rPr>
          <w:noProof/>
          <w:color w:val="auto"/>
        </w:rPr>
        <w:t>3</w:t>
      </w:r>
      <w:r w:rsidR="00A93FFF" w:rsidRPr="00E871F6">
        <w:rPr>
          <w:color w:val="auto"/>
        </w:rPr>
        <w:fldChar w:fldCharType="end"/>
      </w:r>
      <w:r w:rsidRPr="00E871F6">
        <w:rPr>
          <w:color w:val="auto"/>
        </w:rPr>
        <w:t>. Zestawienie obiektów użyteczności publicznej na terenie gminy Strawczyn ze wskazaniem źródła ciepła (opracowanie własne na podstawie ankietyzacji obiektów użyteczności publicznej)</w:t>
      </w:r>
      <w:bookmarkEnd w:id="253"/>
    </w:p>
    <w:tbl>
      <w:tblPr>
        <w:tblStyle w:val="Jasnalistaak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63"/>
        <w:gridCol w:w="4464"/>
      </w:tblGrid>
      <w:tr w:rsidR="00E871F6" w:rsidTr="00353A52">
        <w:trPr>
          <w:cnfStyle w:val="100000000000"/>
        </w:trPr>
        <w:tc>
          <w:tcPr>
            <w:cnfStyle w:val="001000000000"/>
            <w:tcW w:w="4463" w:type="dxa"/>
          </w:tcPr>
          <w:p w:rsidR="00E871F6" w:rsidRPr="00346380" w:rsidRDefault="00E871F6">
            <w:pPr>
              <w:jc w:val="center"/>
              <w:rPr>
                <w:color w:val="000000"/>
              </w:rPr>
            </w:pPr>
            <w:r w:rsidRPr="00346380">
              <w:rPr>
                <w:color w:val="000000"/>
              </w:rPr>
              <w:t>Podmiot</w:t>
            </w:r>
          </w:p>
        </w:tc>
        <w:tc>
          <w:tcPr>
            <w:tcW w:w="4464" w:type="dxa"/>
          </w:tcPr>
          <w:p w:rsidR="00E871F6" w:rsidRPr="00346380" w:rsidRDefault="00E871F6">
            <w:pPr>
              <w:jc w:val="center"/>
              <w:cnfStyle w:val="100000000000"/>
              <w:rPr>
                <w:color w:val="000000"/>
              </w:rPr>
            </w:pPr>
            <w:r w:rsidRPr="00346380">
              <w:rPr>
                <w:color w:val="000000"/>
              </w:rPr>
              <w:t>Źródło ciepła</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Urząd Gminy w Strawczynie, ul. Żeromskiego 16, Strawczyn</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olej opałowy</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Zespół Placówek Oświatowych w Strawczynie, ul. Żeromskiego 9, Strawczyn</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węgiel</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 xml:space="preserve">Szkoła Podstawowa w Rudzie Strawczyńskiej, Ruda Strawczyńska 4, </w:t>
            </w:r>
            <w:proofErr w:type="spellStart"/>
            <w:r>
              <w:rPr>
                <w:rFonts w:ascii="Calibri" w:hAnsi="Calibri"/>
                <w:color w:val="000000"/>
                <w:sz w:val="20"/>
                <w:szCs w:val="20"/>
              </w:rPr>
              <w:t>gm.Strawczyn</w:t>
            </w:r>
            <w:proofErr w:type="spellEnd"/>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olej opałowy</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Szkoła Podstawowa w Niedźwiedziu, Niedźwiedź 56, gm. Strawczyn</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olej opałowy</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Szkoła Podstawowa im. Jana Pawła II w Korczynie, Korczyn 101, Strawczyn</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olej opałowy</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Publiczne Prze</w:t>
            </w:r>
            <w:r w:rsidR="0013718A">
              <w:rPr>
                <w:rFonts w:ascii="Calibri" w:hAnsi="Calibri"/>
                <w:color w:val="000000"/>
                <w:sz w:val="20"/>
                <w:szCs w:val="20"/>
              </w:rPr>
              <w:t>d</w:t>
            </w:r>
            <w:r>
              <w:rPr>
                <w:rFonts w:ascii="Calibri" w:hAnsi="Calibri"/>
                <w:color w:val="000000"/>
                <w:sz w:val="20"/>
                <w:szCs w:val="20"/>
              </w:rPr>
              <w:t>szkole w Promniku, Promnik ul. Szkolna 10, gm.  Strawczyn</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Szkoła Podstawowa w Chełmcach, Chełmce, ul. Kościelna 51, gm. Strawczyn</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węgiel(miał)</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Zespół Placówek Oświatowych w Promniku, ul. Szkolna 10, gm. Strawczyn</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węgiel</w:t>
            </w:r>
          </w:p>
        </w:tc>
      </w:tr>
      <w:tr w:rsidR="00E871F6" w:rsidTr="00353A52">
        <w:trPr>
          <w:cnfStyle w:val="000000100000"/>
        </w:trPr>
        <w:tc>
          <w:tcPr>
            <w:cnfStyle w:val="001000000000"/>
            <w:tcW w:w="4463" w:type="dxa"/>
          </w:tcPr>
          <w:p w:rsidR="00E871F6" w:rsidRDefault="00E871F6">
            <w:pPr>
              <w:jc w:val="center"/>
              <w:rPr>
                <w:rFonts w:ascii="Calibri" w:hAnsi="Calibri"/>
                <w:sz w:val="20"/>
                <w:szCs w:val="20"/>
              </w:rPr>
            </w:pPr>
            <w:r>
              <w:rPr>
                <w:rFonts w:ascii="Calibri" w:hAnsi="Calibri"/>
                <w:sz w:val="20"/>
                <w:szCs w:val="20"/>
              </w:rPr>
              <w:t>Zespół Placówek Oświatowych w Oblęgorku, ul. Gimnazjalna 15, gm. Strawczyn</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węgiel</w:t>
            </w:r>
          </w:p>
        </w:tc>
      </w:tr>
      <w:tr w:rsidR="00E871F6" w:rsidTr="00353A52">
        <w:tc>
          <w:tcPr>
            <w:cnfStyle w:val="001000000000"/>
            <w:tcW w:w="4463" w:type="dxa"/>
          </w:tcPr>
          <w:p w:rsidR="00E871F6" w:rsidRDefault="00E871F6">
            <w:pPr>
              <w:jc w:val="center"/>
              <w:rPr>
                <w:rFonts w:ascii="Calibri" w:hAnsi="Calibri"/>
                <w:sz w:val="20"/>
                <w:szCs w:val="20"/>
              </w:rPr>
            </w:pPr>
            <w:r>
              <w:rPr>
                <w:rFonts w:ascii="Calibri" w:hAnsi="Calibri"/>
                <w:sz w:val="20"/>
                <w:szCs w:val="20"/>
              </w:rPr>
              <w:t>Centrum Sportowo - Rekreacyjne "</w:t>
            </w:r>
            <w:proofErr w:type="spellStart"/>
            <w:r>
              <w:rPr>
                <w:rFonts w:ascii="Calibri" w:hAnsi="Calibri"/>
                <w:sz w:val="20"/>
                <w:szCs w:val="20"/>
              </w:rPr>
              <w:t>Olimpic</w:t>
            </w:r>
            <w:proofErr w:type="spellEnd"/>
            <w:r>
              <w:rPr>
                <w:rFonts w:ascii="Calibri" w:hAnsi="Calibri"/>
                <w:sz w:val="20"/>
                <w:szCs w:val="20"/>
              </w:rPr>
              <w:t>", Strawczynek, ul. Turystyczna 6</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drewno</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Komisariat Policji w Strawczynie, ul. Sportowa 1, gm. Strawczyn</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węgiel</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Samorządowy Zakład Opieki Zdrowotnej, ul. Ogrodowa 2, Strawczyn</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olej opałowy</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Ochotnicza Straż Pożarna w Strawczynie, ul. Sportowa 2</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węgiel</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lastRenderedPageBreak/>
              <w:t>Ochotnicza Straż Pożarna w Chełmcach, ul. Kościelna 40</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energia elektryczna</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Ochotnicza Straż Pożarna w Hucisku, Hucisko 36 a</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energia elektryczna</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Ochotnicza Straż Pożarna w Oblęgorku, ul. H. Sienkiewicza 70</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energia elektryczna</w:t>
            </w:r>
          </w:p>
        </w:tc>
      </w:tr>
      <w:tr w:rsidR="00E871F6" w:rsidTr="00353A52">
        <w:trPr>
          <w:cnfStyle w:val="000000100000"/>
        </w:trPr>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Ochotnicza Straż Pożarna w Promniku, ul. Strażacka 4</w:t>
            </w:r>
          </w:p>
        </w:tc>
        <w:tc>
          <w:tcPr>
            <w:tcW w:w="4464" w:type="dxa"/>
          </w:tcPr>
          <w:p w:rsidR="00E871F6" w:rsidRDefault="00E871F6">
            <w:pPr>
              <w:jc w:val="center"/>
              <w:cnfStyle w:val="000000100000"/>
              <w:rPr>
                <w:rFonts w:ascii="Calibri" w:hAnsi="Calibri"/>
                <w:color w:val="000000"/>
                <w:sz w:val="20"/>
                <w:szCs w:val="20"/>
              </w:rPr>
            </w:pPr>
            <w:r>
              <w:rPr>
                <w:rFonts w:ascii="Calibri" w:hAnsi="Calibri"/>
                <w:color w:val="000000"/>
                <w:sz w:val="20"/>
                <w:szCs w:val="20"/>
              </w:rPr>
              <w:t>węgiel (</w:t>
            </w:r>
            <w:proofErr w:type="spellStart"/>
            <w:r>
              <w:rPr>
                <w:rFonts w:ascii="Calibri" w:hAnsi="Calibri"/>
                <w:color w:val="000000"/>
                <w:sz w:val="20"/>
                <w:szCs w:val="20"/>
              </w:rPr>
              <w:t>ekogroszek</w:t>
            </w:r>
            <w:proofErr w:type="spellEnd"/>
            <w:r>
              <w:rPr>
                <w:rFonts w:ascii="Calibri" w:hAnsi="Calibri"/>
                <w:color w:val="000000"/>
                <w:sz w:val="20"/>
                <w:szCs w:val="20"/>
              </w:rPr>
              <w:t>)</w:t>
            </w:r>
          </w:p>
        </w:tc>
      </w:tr>
      <w:tr w:rsidR="00E871F6" w:rsidTr="00353A52">
        <w:tc>
          <w:tcPr>
            <w:cnfStyle w:val="001000000000"/>
            <w:tcW w:w="4463" w:type="dxa"/>
          </w:tcPr>
          <w:p w:rsidR="00E871F6" w:rsidRDefault="00E871F6">
            <w:pPr>
              <w:jc w:val="center"/>
              <w:rPr>
                <w:rFonts w:ascii="Calibri" w:hAnsi="Calibri"/>
                <w:color w:val="000000"/>
                <w:sz w:val="20"/>
                <w:szCs w:val="20"/>
              </w:rPr>
            </w:pPr>
            <w:r>
              <w:rPr>
                <w:rFonts w:ascii="Calibri" w:hAnsi="Calibri"/>
                <w:color w:val="000000"/>
                <w:sz w:val="20"/>
                <w:szCs w:val="20"/>
              </w:rPr>
              <w:t>Oczyszczalnia ścieków w Strawczynie</w:t>
            </w:r>
          </w:p>
        </w:tc>
        <w:tc>
          <w:tcPr>
            <w:tcW w:w="4464" w:type="dxa"/>
          </w:tcPr>
          <w:p w:rsidR="00E871F6" w:rsidRDefault="00E871F6">
            <w:pPr>
              <w:jc w:val="center"/>
              <w:cnfStyle w:val="000000000000"/>
              <w:rPr>
                <w:rFonts w:ascii="Calibri" w:hAnsi="Calibri"/>
                <w:color w:val="000000"/>
                <w:sz w:val="20"/>
                <w:szCs w:val="20"/>
              </w:rPr>
            </w:pPr>
            <w:r>
              <w:rPr>
                <w:rFonts w:ascii="Calibri" w:hAnsi="Calibri"/>
                <w:color w:val="000000"/>
                <w:sz w:val="20"/>
                <w:szCs w:val="20"/>
              </w:rPr>
              <w:t>energia elektryczna</w:t>
            </w:r>
          </w:p>
        </w:tc>
      </w:tr>
    </w:tbl>
    <w:p w:rsidR="00E871F6" w:rsidRDefault="00E871F6" w:rsidP="00112E4A"/>
    <w:p w:rsidR="00E871F6" w:rsidRPr="00346380" w:rsidRDefault="00E871F6" w:rsidP="00346380">
      <w:pPr>
        <w:pStyle w:val="Nagwek2"/>
      </w:pPr>
      <w:bookmarkStart w:id="254" w:name="_Toc426638170"/>
      <w:bookmarkStart w:id="255" w:name="_Toc427675571"/>
      <w:bookmarkStart w:id="256" w:name="_Toc427734971"/>
      <w:r w:rsidRPr="00346380">
        <w:t>Prognoza zapotrzebowania na energię cieplną</w:t>
      </w:r>
      <w:bookmarkEnd w:id="254"/>
      <w:bookmarkEnd w:id="255"/>
      <w:bookmarkEnd w:id="256"/>
    </w:p>
    <w:p w:rsidR="00A6213B" w:rsidRDefault="00E871F6" w:rsidP="00E871F6">
      <w:pPr>
        <w:spacing w:after="0" w:line="360" w:lineRule="auto"/>
      </w:pPr>
      <w:r w:rsidRPr="00E871F6">
        <w:t>Prognozę zapotrzebowania na energię cieplną oszacowano na podstawie danych prognoz ogólnej powierzchni użytkowej b</w:t>
      </w:r>
      <w:r w:rsidR="00A6213B">
        <w:t>udynków na terenie gminy Strawczyn</w:t>
      </w:r>
      <w:r w:rsidRPr="00E871F6">
        <w:t>, przy założeniu, że zapotrzebowanie roczne na energię cieplną na 1 m</w:t>
      </w:r>
      <w:r w:rsidRPr="00E871F6">
        <w:rPr>
          <w:vertAlign w:val="superscript"/>
        </w:rPr>
        <w:t>2</w:t>
      </w:r>
      <w:r w:rsidRPr="00E871F6">
        <w:t xml:space="preserve"> wynosi 0,821 GJ. </w:t>
      </w:r>
    </w:p>
    <w:p w:rsidR="00A6213B" w:rsidRPr="00A6213B" w:rsidRDefault="00A6213B" w:rsidP="00A6213B">
      <w:pPr>
        <w:pStyle w:val="Legenda"/>
        <w:keepNext/>
        <w:rPr>
          <w:color w:val="auto"/>
        </w:rPr>
      </w:pPr>
      <w:bookmarkStart w:id="257" w:name="_Toc427675350"/>
      <w:r w:rsidRPr="00A6213B">
        <w:rPr>
          <w:color w:val="auto"/>
        </w:rPr>
        <w:t xml:space="preserve">Tabela </w:t>
      </w:r>
      <w:r w:rsidR="00A93FFF" w:rsidRPr="00A6213B">
        <w:rPr>
          <w:color w:val="auto"/>
        </w:rPr>
        <w:fldChar w:fldCharType="begin"/>
      </w:r>
      <w:r w:rsidRPr="00A6213B">
        <w:rPr>
          <w:color w:val="auto"/>
        </w:rPr>
        <w:instrText xml:space="preserve"> SEQ Tabela \* ARABIC </w:instrText>
      </w:r>
      <w:r w:rsidR="00A93FFF" w:rsidRPr="00A6213B">
        <w:rPr>
          <w:color w:val="auto"/>
        </w:rPr>
        <w:fldChar w:fldCharType="separate"/>
      </w:r>
      <w:r w:rsidR="00871648">
        <w:rPr>
          <w:noProof/>
          <w:color w:val="auto"/>
        </w:rPr>
        <w:t>4</w:t>
      </w:r>
      <w:r w:rsidR="00A93FFF" w:rsidRPr="00A6213B">
        <w:rPr>
          <w:color w:val="auto"/>
        </w:rPr>
        <w:fldChar w:fldCharType="end"/>
      </w:r>
      <w:r w:rsidRPr="00A6213B">
        <w:rPr>
          <w:color w:val="auto"/>
        </w:rPr>
        <w:t>. Prognozowane zapotrzebowanie na energię cieplną gminy Strawczyn</w:t>
      </w:r>
      <w:bookmarkEnd w:id="257"/>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1"/>
        <w:gridCol w:w="3792"/>
      </w:tblGrid>
      <w:tr w:rsidR="00A6213B" w:rsidRPr="004A53E3" w:rsidTr="00353A52">
        <w:trPr>
          <w:cnfStyle w:val="100000000000"/>
          <w:trHeight w:val="300"/>
          <w:jc w:val="center"/>
        </w:trPr>
        <w:tc>
          <w:tcPr>
            <w:cnfStyle w:val="001000000000"/>
            <w:tcW w:w="0" w:type="auto"/>
            <w:noWrap/>
          </w:tcPr>
          <w:p w:rsidR="00A6213B" w:rsidRPr="004A53E3" w:rsidRDefault="00A6213B" w:rsidP="00231D05">
            <w:pPr>
              <w:jc w:val="center"/>
              <w:rPr>
                <w:rFonts w:cs="Arial"/>
                <w:color w:val="000000"/>
                <w:lang w:eastAsia="pl-PL"/>
              </w:rPr>
            </w:pPr>
            <w:r w:rsidRPr="004A53E3">
              <w:rPr>
                <w:rFonts w:cs="Arial"/>
                <w:color w:val="000000"/>
                <w:lang w:eastAsia="pl-PL"/>
              </w:rPr>
              <w:t>Rok</w:t>
            </w:r>
          </w:p>
        </w:tc>
        <w:tc>
          <w:tcPr>
            <w:tcW w:w="0" w:type="auto"/>
            <w:noWrap/>
          </w:tcPr>
          <w:p w:rsidR="00A6213B" w:rsidRPr="004A53E3" w:rsidRDefault="00A6213B" w:rsidP="00231D05">
            <w:pPr>
              <w:jc w:val="center"/>
              <w:cnfStyle w:val="100000000000"/>
              <w:rPr>
                <w:rFonts w:cs="Arial"/>
                <w:color w:val="000000"/>
                <w:lang w:eastAsia="pl-PL"/>
              </w:rPr>
            </w:pPr>
            <w:r w:rsidRPr="004A53E3">
              <w:rPr>
                <w:rFonts w:cs="Arial"/>
                <w:color w:val="000000"/>
                <w:lang w:eastAsia="pl-PL"/>
              </w:rPr>
              <w:t>Zapotrzebowanie na energię GJ</w:t>
            </w:r>
          </w:p>
        </w:tc>
      </w:tr>
      <w:tr w:rsidR="00A6213B" w:rsidRPr="004A53E3" w:rsidTr="00353A52">
        <w:trPr>
          <w:cnfStyle w:val="000000100000"/>
          <w:trHeight w:val="300"/>
          <w:jc w:val="center"/>
        </w:trPr>
        <w:tc>
          <w:tcPr>
            <w:cnfStyle w:val="001000000000"/>
            <w:tcW w:w="0" w:type="auto"/>
            <w:noWrap/>
            <w:hideMark/>
          </w:tcPr>
          <w:p w:rsidR="00A6213B" w:rsidRPr="004A53E3" w:rsidRDefault="00A6213B" w:rsidP="00231D05">
            <w:pPr>
              <w:jc w:val="center"/>
              <w:rPr>
                <w:rFonts w:cs="Arial"/>
                <w:color w:val="000000"/>
                <w:lang w:eastAsia="pl-PL"/>
              </w:rPr>
            </w:pPr>
            <w:r w:rsidRPr="004A53E3">
              <w:rPr>
                <w:rFonts w:cs="Arial"/>
                <w:color w:val="000000"/>
                <w:lang w:eastAsia="pl-PL"/>
              </w:rPr>
              <w:t>2014</w:t>
            </w:r>
          </w:p>
        </w:tc>
        <w:tc>
          <w:tcPr>
            <w:tcW w:w="0" w:type="auto"/>
            <w:noWrap/>
            <w:hideMark/>
          </w:tcPr>
          <w:p w:rsidR="00A6213B" w:rsidRPr="004A53E3" w:rsidRDefault="00A6213B" w:rsidP="00231D05">
            <w:pPr>
              <w:jc w:val="center"/>
              <w:cnfStyle w:val="000000100000"/>
              <w:rPr>
                <w:rFonts w:cs="Arial"/>
                <w:color w:val="000000"/>
                <w:lang w:eastAsia="pl-PL"/>
              </w:rPr>
            </w:pPr>
            <w:r w:rsidRPr="004A53E3">
              <w:rPr>
                <w:rFonts w:cs="Arial"/>
                <w:color w:val="000000"/>
                <w:lang w:eastAsia="pl-PL"/>
              </w:rPr>
              <w:t>1</w:t>
            </w:r>
            <w:r>
              <w:rPr>
                <w:rFonts w:cs="Arial"/>
                <w:color w:val="000000"/>
                <w:lang w:eastAsia="pl-PL"/>
              </w:rPr>
              <w:t>98194,3</w:t>
            </w:r>
          </w:p>
        </w:tc>
      </w:tr>
      <w:tr w:rsidR="00A6213B" w:rsidRPr="004A53E3" w:rsidTr="00353A52">
        <w:trPr>
          <w:trHeight w:val="300"/>
          <w:jc w:val="center"/>
        </w:trPr>
        <w:tc>
          <w:tcPr>
            <w:cnfStyle w:val="001000000000"/>
            <w:tcW w:w="0" w:type="auto"/>
            <w:noWrap/>
            <w:hideMark/>
          </w:tcPr>
          <w:p w:rsidR="00A6213B" w:rsidRPr="004A53E3" w:rsidRDefault="00A6213B" w:rsidP="00231D05">
            <w:pPr>
              <w:jc w:val="center"/>
              <w:rPr>
                <w:rFonts w:cs="Arial"/>
                <w:color w:val="000000"/>
                <w:lang w:eastAsia="pl-PL"/>
              </w:rPr>
            </w:pPr>
            <w:r w:rsidRPr="004A53E3">
              <w:rPr>
                <w:rFonts w:cs="Arial"/>
                <w:color w:val="000000"/>
                <w:lang w:eastAsia="pl-PL"/>
              </w:rPr>
              <w:t>2015</w:t>
            </w:r>
          </w:p>
        </w:tc>
        <w:tc>
          <w:tcPr>
            <w:tcW w:w="0" w:type="auto"/>
            <w:noWrap/>
            <w:hideMark/>
          </w:tcPr>
          <w:p w:rsidR="00A6213B" w:rsidRPr="004A53E3" w:rsidRDefault="00A6213B" w:rsidP="00231D05">
            <w:pPr>
              <w:jc w:val="center"/>
              <w:cnfStyle w:val="000000000000"/>
              <w:rPr>
                <w:rFonts w:cs="Arial"/>
                <w:color w:val="000000"/>
                <w:lang w:eastAsia="pl-PL"/>
              </w:rPr>
            </w:pPr>
            <w:r>
              <w:rPr>
                <w:rFonts w:cs="Arial"/>
                <w:color w:val="000000"/>
                <w:lang w:eastAsia="pl-PL"/>
              </w:rPr>
              <w:t>200364,2</w:t>
            </w:r>
          </w:p>
        </w:tc>
      </w:tr>
      <w:tr w:rsidR="00A6213B" w:rsidRPr="004A53E3" w:rsidTr="00353A52">
        <w:trPr>
          <w:cnfStyle w:val="000000100000"/>
          <w:trHeight w:val="300"/>
          <w:jc w:val="center"/>
        </w:trPr>
        <w:tc>
          <w:tcPr>
            <w:cnfStyle w:val="001000000000"/>
            <w:tcW w:w="0" w:type="auto"/>
            <w:noWrap/>
            <w:hideMark/>
          </w:tcPr>
          <w:p w:rsidR="00A6213B" w:rsidRPr="004A53E3" w:rsidRDefault="00A6213B" w:rsidP="00231D05">
            <w:pPr>
              <w:jc w:val="center"/>
              <w:rPr>
                <w:rFonts w:cs="Arial"/>
                <w:color w:val="000000"/>
                <w:lang w:eastAsia="pl-PL"/>
              </w:rPr>
            </w:pPr>
            <w:r w:rsidRPr="004A53E3">
              <w:rPr>
                <w:rFonts w:cs="Arial"/>
                <w:color w:val="000000"/>
                <w:lang w:eastAsia="pl-PL"/>
              </w:rPr>
              <w:t>2016</w:t>
            </w:r>
          </w:p>
        </w:tc>
        <w:tc>
          <w:tcPr>
            <w:tcW w:w="0" w:type="auto"/>
            <w:noWrap/>
            <w:hideMark/>
          </w:tcPr>
          <w:p w:rsidR="00A6213B" w:rsidRPr="004A53E3" w:rsidRDefault="00A6213B" w:rsidP="00231D05">
            <w:pPr>
              <w:jc w:val="center"/>
              <w:cnfStyle w:val="000000100000"/>
              <w:rPr>
                <w:rFonts w:cs="Arial"/>
                <w:color w:val="000000"/>
                <w:lang w:eastAsia="pl-PL"/>
              </w:rPr>
            </w:pPr>
            <w:r>
              <w:rPr>
                <w:rFonts w:cs="Arial"/>
                <w:color w:val="000000"/>
                <w:lang w:eastAsia="pl-PL"/>
              </w:rPr>
              <w:t>202557,9</w:t>
            </w:r>
          </w:p>
        </w:tc>
      </w:tr>
      <w:tr w:rsidR="00A6213B" w:rsidRPr="004A53E3" w:rsidTr="00353A52">
        <w:trPr>
          <w:trHeight w:val="300"/>
          <w:jc w:val="center"/>
        </w:trPr>
        <w:tc>
          <w:tcPr>
            <w:cnfStyle w:val="001000000000"/>
            <w:tcW w:w="0" w:type="auto"/>
            <w:noWrap/>
            <w:hideMark/>
          </w:tcPr>
          <w:p w:rsidR="00A6213B" w:rsidRPr="004A53E3" w:rsidRDefault="00A6213B" w:rsidP="00231D05">
            <w:pPr>
              <w:jc w:val="center"/>
              <w:rPr>
                <w:rFonts w:cs="Arial"/>
                <w:color w:val="000000"/>
                <w:lang w:eastAsia="pl-PL"/>
              </w:rPr>
            </w:pPr>
            <w:r w:rsidRPr="004A53E3">
              <w:rPr>
                <w:rFonts w:cs="Arial"/>
                <w:color w:val="000000"/>
                <w:lang w:eastAsia="pl-PL"/>
              </w:rPr>
              <w:t>2017</w:t>
            </w:r>
          </w:p>
        </w:tc>
        <w:tc>
          <w:tcPr>
            <w:tcW w:w="0" w:type="auto"/>
            <w:noWrap/>
            <w:hideMark/>
          </w:tcPr>
          <w:p w:rsidR="00A6213B" w:rsidRPr="004A53E3" w:rsidRDefault="00A6213B" w:rsidP="00231D05">
            <w:pPr>
              <w:jc w:val="center"/>
              <w:cnfStyle w:val="000000000000"/>
              <w:rPr>
                <w:rFonts w:cs="Arial"/>
                <w:color w:val="000000"/>
                <w:lang w:eastAsia="pl-PL"/>
              </w:rPr>
            </w:pPr>
            <w:r>
              <w:rPr>
                <w:rFonts w:cs="Arial"/>
                <w:color w:val="000000"/>
                <w:lang w:eastAsia="pl-PL"/>
              </w:rPr>
              <w:t>204775,5</w:t>
            </w:r>
          </w:p>
        </w:tc>
      </w:tr>
      <w:tr w:rsidR="00A6213B" w:rsidRPr="004A53E3" w:rsidTr="00353A52">
        <w:trPr>
          <w:cnfStyle w:val="000000100000"/>
          <w:trHeight w:val="300"/>
          <w:jc w:val="center"/>
        </w:trPr>
        <w:tc>
          <w:tcPr>
            <w:cnfStyle w:val="001000000000"/>
            <w:tcW w:w="0" w:type="auto"/>
            <w:noWrap/>
            <w:hideMark/>
          </w:tcPr>
          <w:p w:rsidR="00A6213B" w:rsidRPr="004A53E3" w:rsidRDefault="00A6213B" w:rsidP="00231D05">
            <w:pPr>
              <w:jc w:val="center"/>
              <w:rPr>
                <w:rFonts w:cs="Arial"/>
                <w:color w:val="000000"/>
                <w:lang w:eastAsia="pl-PL"/>
              </w:rPr>
            </w:pPr>
            <w:r w:rsidRPr="004A53E3">
              <w:rPr>
                <w:rFonts w:cs="Arial"/>
                <w:color w:val="000000"/>
                <w:lang w:eastAsia="pl-PL"/>
              </w:rPr>
              <w:t>2018</w:t>
            </w:r>
          </w:p>
        </w:tc>
        <w:tc>
          <w:tcPr>
            <w:tcW w:w="0" w:type="auto"/>
            <w:noWrap/>
            <w:hideMark/>
          </w:tcPr>
          <w:p w:rsidR="00A6213B" w:rsidRPr="004A53E3" w:rsidRDefault="00A6213B" w:rsidP="00231D05">
            <w:pPr>
              <w:jc w:val="center"/>
              <w:cnfStyle w:val="000000100000"/>
              <w:rPr>
                <w:rFonts w:cs="Arial"/>
                <w:color w:val="000000"/>
                <w:lang w:eastAsia="pl-PL"/>
              </w:rPr>
            </w:pPr>
            <w:r>
              <w:rPr>
                <w:rFonts w:cs="Arial"/>
                <w:color w:val="000000"/>
                <w:lang w:eastAsia="pl-PL"/>
              </w:rPr>
              <w:t>207017,6</w:t>
            </w:r>
          </w:p>
        </w:tc>
      </w:tr>
      <w:tr w:rsidR="00A6213B" w:rsidRPr="004A53E3" w:rsidTr="00353A52">
        <w:trPr>
          <w:trHeight w:val="300"/>
          <w:jc w:val="center"/>
        </w:trPr>
        <w:tc>
          <w:tcPr>
            <w:cnfStyle w:val="001000000000"/>
            <w:tcW w:w="0" w:type="auto"/>
            <w:noWrap/>
            <w:hideMark/>
          </w:tcPr>
          <w:p w:rsidR="00A6213B" w:rsidRPr="004A53E3" w:rsidRDefault="00A6213B" w:rsidP="00231D05">
            <w:pPr>
              <w:jc w:val="center"/>
              <w:rPr>
                <w:rFonts w:cs="Arial"/>
                <w:color w:val="000000"/>
                <w:lang w:eastAsia="pl-PL"/>
              </w:rPr>
            </w:pPr>
            <w:r w:rsidRPr="004A53E3">
              <w:rPr>
                <w:rFonts w:cs="Arial"/>
                <w:color w:val="000000"/>
                <w:lang w:eastAsia="pl-PL"/>
              </w:rPr>
              <w:t>2019</w:t>
            </w:r>
          </w:p>
        </w:tc>
        <w:tc>
          <w:tcPr>
            <w:tcW w:w="0" w:type="auto"/>
            <w:noWrap/>
            <w:hideMark/>
          </w:tcPr>
          <w:p w:rsidR="00A6213B" w:rsidRPr="004A53E3" w:rsidRDefault="00A6213B" w:rsidP="00231D05">
            <w:pPr>
              <w:jc w:val="center"/>
              <w:cnfStyle w:val="000000000000"/>
              <w:rPr>
                <w:rFonts w:cs="Arial"/>
                <w:color w:val="000000"/>
                <w:lang w:eastAsia="pl-PL"/>
              </w:rPr>
            </w:pPr>
            <w:r>
              <w:rPr>
                <w:rFonts w:cs="Arial"/>
                <w:color w:val="000000"/>
                <w:lang w:eastAsia="pl-PL"/>
              </w:rPr>
              <w:t>209284,4</w:t>
            </w:r>
          </w:p>
        </w:tc>
      </w:tr>
      <w:tr w:rsidR="00A6213B" w:rsidRPr="004A53E3" w:rsidTr="00353A52">
        <w:trPr>
          <w:cnfStyle w:val="000000100000"/>
          <w:trHeight w:val="300"/>
          <w:jc w:val="center"/>
        </w:trPr>
        <w:tc>
          <w:tcPr>
            <w:cnfStyle w:val="001000000000"/>
            <w:tcW w:w="0" w:type="auto"/>
            <w:noWrap/>
            <w:hideMark/>
          </w:tcPr>
          <w:p w:rsidR="00A6213B" w:rsidRPr="004A53E3" w:rsidRDefault="00A6213B" w:rsidP="00231D05">
            <w:pPr>
              <w:jc w:val="center"/>
              <w:rPr>
                <w:rFonts w:cs="Arial"/>
                <w:color w:val="000000"/>
                <w:lang w:eastAsia="pl-PL"/>
              </w:rPr>
            </w:pPr>
            <w:r w:rsidRPr="004A53E3">
              <w:rPr>
                <w:rFonts w:cs="Arial"/>
                <w:color w:val="000000"/>
                <w:lang w:eastAsia="pl-PL"/>
              </w:rPr>
              <w:t>2020</w:t>
            </w:r>
          </w:p>
        </w:tc>
        <w:tc>
          <w:tcPr>
            <w:tcW w:w="0" w:type="auto"/>
            <w:noWrap/>
            <w:hideMark/>
          </w:tcPr>
          <w:p w:rsidR="00A6213B" w:rsidRPr="004A53E3" w:rsidRDefault="00A6213B" w:rsidP="00231D05">
            <w:pPr>
              <w:jc w:val="center"/>
              <w:cnfStyle w:val="000000100000"/>
              <w:rPr>
                <w:rFonts w:cs="Arial"/>
                <w:color w:val="000000"/>
                <w:lang w:eastAsia="pl-PL"/>
              </w:rPr>
            </w:pPr>
            <w:r>
              <w:rPr>
                <w:rFonts w:cs="Arial"/>
                <w:color w:val="000000"/>
                <w:lang w:eastAsia="pl-PL"/>
              </w:rPr>
              <w:t>211575,8</w:t>
            </w:r>
          </w:p>
        </w:tc>
      </w:tr>
    </w:tbl>
    <w:p w:rsidR="00E871F6" w:rsidRPr="00E871F6" w:rsidRDefault="00E871F6" w:rsidP="00E871F6">
      <w:pPr>
        <w:spacing w:after="0" w:line="360" w:lineRule="auto"/>
      </w:pPr>
    </w:p>
    <w:p w:rsidR="00A6213B" w:rsidRPr="007A3AD0" w:rsidRDefault="00A6213B" w:rsidP="007A3AD0">
      <w:pPr>
        <w:pStyle w:val="Nagwek2"/>
      </w:pPr>
      <w:bookmarkStart w:id="258" w:name="_Toc426638171"/>
      <w:bookmarkStart w:id="259" w:name="_Toc427675572"/>
      <w:bookmarkStart w:id="260" w:name="_Toc427734972"/>
      <w:r w:rsidRPr="007A3AD0">
        <w:t>Przedsięwzięcia racjonalizujące wykorzystanie energii cieplnej</w:t>
      </w:r>
      <w:bookmarkEnd w:id="258"/>
      <w:bookmarkEnd w:id="259"/>
      <w:bookmarkEnd w:id="260"/>
    </w:p>
    <w:p w:rsidR="00A6213B" w:rsidRPr="00A6213B" w:rsidRDefault="00A6213B" w:rsidP="00A6213B">
      <w:pPr>
        <w:spacing w:line="360" w:lineRule="auto"/>
      </w:pPr>
      <w:r w:rsidRPr="00A6213B">
        <w:t>Racjonalizacja użytkowania ciepła sprowadza się do poprawy efektywności ekonomicznej wykorzystania nośników energii przy jednoczesnej minimalizacji szkodliwego oddziaływania na środowisko. Przedsięwzięcia racjonalizujące zużycie energii cieplnej mogą się dzielić na działania inwestycyjne oraz miękkie (polegające na zmianie dotychczasowych przyzwyczajeń). Do zadań inwestycyjnych należy m.in. termomodernizacja czy wymiana źródeł ciepła, które przynoszą nie tylko efekt ekonomiczny, ale również znacząco wpływają na emisję zanieczyszczeń gazowych do atmosfery.</w:t>
      </w:r>
    </w:p>
    <w:p w:rsidR="00A6213B" w:rsidRPr="00353A52" w:rsidRDefault="00A6213B" w:rsidP="00A6213B">
      <w:pPr>
        <w:spacing w:line="360" w:lineRule="auto"/>
        <w:rPr>
          <w:u w:val="single"/>
        </w:rPr>
      </w:pPr>
      <w:r w:rsidRPr="00353A52">
        <w:rPr>
          <w:u w:val="single"/>
        </w:rPr>
        <w:t>Przykładowe działania racjonalizujące zużycie energii cieplnej w gminie Strawczyn:</w:t>
      </w:r>
    </w:p>
    <w:p w:rsidR="00A6213B" w:rsidRPr="00A6213B" w:rsidRDefault="00A6213B" w:rsidP="00A6213B">
      <w:pPr>
        <w:spacing w:line="360" w:lineRule="auto"/>
      </w:pPr>
      <w:r w:rsidRPr="00A6213B">
        <w:t>a) wysokonakładowe:</w:t>
      </w:r>
    </w:p>
    <w:p w:rsidR="00A6213B" w:rsidRPr="00A6213B" w:rsidRDefault="00A6213B" w:rsidP="00775439">
      <w:pPr>
        <w:numPr>
          <w:ilvl w:val="0"/>
          <w:numId w:val="50"/>
        </w:numPr>
        <w:spacing w:line="360" w:lineRule="auto"/>
        <w:rPr>
          <w:u w:val="single"/>
        </w:rPr>
      </w:pPr>
      <w:r w:rsidRPr="00A6213B">
        <w:t xml:space="preserve">termomodernizacja i zmiana systemu grzewczego w budynkach użyteczności publicznej. Zlokalizowane obiekty użyteczności publicznej na obszarze gminy charakteryzują się szerokim zakresem architektonicznym. Przy tego typu budynkach należy przeprowadzić indywidualne audyty energetyczne, które uwzględnią </w:t>
      </w:r>
      <w:r w:rsidRPr="00A6213B">
        <w:lastRenderedPageBreak/>
        <w:t xml:space="preserve">indywidualne zapotrzebowanie cieplne dla danego typu obiektu oraz możliwości ich realizacji z punktu widzenia architektury. W stosunku do obiektów użyteczności publicznej założono, że działania </w:t>
      </w:r>
      <w:proofErr w:type="spellStart"/>
      <w:r w:rsidRPr="00A6213B">
        <w:t>termomodernizacyjne</w:t>
      </w:r>
      <w:proofErr w:type="spellEnd"/>
      <w:r w:rsidRPr="00A6213B">
        <w:t xml:space="preserve"> polegające na etapowej wymianie stolarki okiennej, </w:t>
      </w:r>
      <w:proofErr w:type="spellStart"/>
      <w:r w:rsidRPr="00A6213B">
        <w:t>docieplaniu</w:t>
      </w:r>
      <w:proofErr w:type="spellEnd"/>
      <w:r w:rsidRPr="00A6213B">
        <w:t xml:space="preserve"> ścian w obiektach, w których warunki architektoniczno-konstrukcyjne umożliwiające podjęcie takich działań przyniosą efekt redukcji o około 10% w stosunku do obecnego zapotrzebowania cieplnego. </w:t>
      </w:r>
      <w:r w:rsidRPr="00A6213B">
        <w:br/>
        <w:t xml:space="preserve">Z uwagi na zróżnicowanie wielkości obiektów oraz ich indywidualny charakter dopiero po przeprowadzeniu bliższej analizy w postaci audytów energetycznych możliwe jest oszacowanie kosztów w zakresie przeprowadzenia działań w zakresie termomodernizacji. Termomodernizacja budynków użyteczności publicznej to działanie związane z wydatkowaniem znacznych środków finansowych, jednak przy właściwie przeprowadzonej analizie wielkości energetycznych związanych z zasilaniem budynków można niskonakładowo zmniejszyć koszty zużycia energii, </w:t>
      </w:r>
      <w:r w:rsidRPr="00A6213B">
        <w:br/>
        <w:t>a tym samym emisję gazów cieplarnianych;</w:t>
      </w:r>
    </w:p>
    <w:p w:rsidR="00A6213B" w:rsidRPr="00A6213B" w:rsidRDefault="00A6213B" w:rsidP="00775439">
      <w:pPr>
        <w:numPr>
          <w:ilvl w:val="0"/>
          <w:numId w:val="50"/>
        </w:numPr>
        <w:spacing w:line="360" w:lineRule="auto"/>
      </w:pPr>
      <w:r w:rsidRPr="00A6213B">
        <w:t>tam, gdzie jest to możliwe, dążenie do ograniczania indywidualnego ogrzewania węglowego poprzez rozbudowę systemu gazowniczego.</w:t>
      </w:r>
    </w:p>
    <w:p w:rsidR="00A6213B" w:rsidRPr="00A6213B" w:rsidRDefault="00A6213B" w:rsidP="00A6213B">
      <w:pPr>
        <w:spacing w:line="360" w:lineRule="auto"/>
      </w:pPr>
      <w:r w:rsidRPr="00A6213B">
        <w:t>b) niskonakładowe:</w:t>
      </w:r>
    </w:p>
    <w:p w:rsidR="00A6213B" w:rsidRPr="00A6213B" w:rsidRDefault="00A6213B" w:rsidP="00775439">
      <w:pPr>
        <w:numPr>
          <w:ilvl w:val="0"/>
          <w:numId w:val="50"/>
        </w:numPr>
        <w:spacing w:line="360" w:lineRule="auto"/>
      </w:pPr>
      <w:r w:rsidRPr="00A6213B">
        <w:t xml:space="preserve">propagowanie zakupu i montażu kotłów węglowych V klasy (zgodnie z normą PN EN 303-5:2012), których sprawność dla kotłów o nominalnej mocy cieplnej 25 </w:t>
      </w:r>
      <w:proofErr w:type="spellStart"/>
      <w:r w:rsidRPr="00A6213B">
        <w:t>kW</w:t>
      </w:r>
      <w:proofErr w:type="spellEnd"/>
      <w:r w:rsidRPr="00A6213B">
        <w:t xml:space="preserve"> powinna wynosić ok. 82%;</w:t>
      </w:r>
    </w:p>
    <w:p w:rsidR="00A6213B" w:rsidRPr="00A6213B" w:rsidRDefault="00A6213B" w:rsidP="00775439">
      <w:pPr>
        <w:numPr>
          <w:ilvl w:val="0"/>
          <w:numId w:val="50"/>
        </w:numPr>
        <w:spacing w:line="360" w:lineRule="auto"/>
      </w:pPr>
      <w:r w:rsidRPr="00A6213B">
        <w:t>propagowanie montażu instalacji kompaktowych wytwarzających ciepło i energię elektryczną w skojarzeniu i zasilanych paliwem ekologicznym (gaz ziemny, olej opałowy, gaz płynny, paliwa odnawialne);</w:t>
      </w:r>
    </w:p>
    <w:p w:rsidR="00A6213B" w:rsidRPr="00A6213B" w:rsidRDefault="00A6213B" w:rsidP="00775439">
      <w:pPr>
        <w:numPr>
          <w:ilvl w:val="0"/>
          <w:numId w:val="50"/>
        </w:numPr>
        <w:spacing w:line="360" w:lineRule="auto"/>
      </w:pPr>
      <w:r w:rsidRPr="00A6213B">
        <w:t>wykonywanie wstępnych analiz techniczno-ekonomicznych dotyczących możliwości wykorzystania lokalnych źródeł odnawialnych (energia wodna, słoneczna, biomasa) na potrzeby gminy;</w:t>
      </w:r>
    </w:p>
    <w:p w:rsidR="00A6213B" w:rsidRPr="00A6213B" w:rsidRDefault="00A6213B" w:rsidP="00775439">
      <w:pPr>
        <w:numPr>
          <w:ilvl w:val="0"/>
          <w:numId w:val="50"/>
        </w:numPr>
        <w:spacing w:line="360" w:lineRule="auto"/>
      </w:pPr>
      <w:r w:rsidRPr="00A6213B">
        <w:t>podnoszenie świadomości ekologicznej i ekonomicznej mieszkańców w zakresie racjonalnego gospodarowania ciepłem, w tym również dążenie do zminimalizowania zanieczyszczeń powietrza atmosferycznego (w postaci pyłów i gazów);</w:t>
      </w:r>
    </w:p>
    <w:p w:rsidR="00A6213B" w:rsidRPr="00A6213B" w:rsidRDefault="00A6213B" w:rsidP="00775439">
      <w:pPr>
        <w:numPr>
          <w:ilvl w:val="0"/>
          <w:numId w:val="50"/>
        </w:numPr>
        <w:spacing w:line="360" w:lineRule="auto"/>
      </w:pPr>
      <w:r w:rsidRPr="00A6213B">
        <w:t>efektywne zarządzanie energią, prowadzące do obniżenia kosztów związanych z produkcją ciepła;</w:t>
      </w:r>
    </w:p>
    <w:p w:rsidR="00A6213B" w:rsidRPr="00A6213B" w:rsidRDefault="00A6213B" w:rsidP="00775439">
      <w:pPr>
        <w:numPr>
          <w:ilvl w:val="0"/>
          <w:numId w:val="50"/>
        </w:numPr>
        <w:spacing w:line="360" w:lineRule="auto"/>
      </w:pPr>
      <w:r w:rsidRPr="00A6213B">
        <w:lastRenderedPageBreak/>
        <w:t>upowszechnianie termomodernizacji budynków mieszkalnych oraz możliwości skorzystania z ułatwień finansowych wynikających z ustawy o termomodernizacji budynków;</w:t>
      </w:r>
    </w:p>
    <w:p w:rsidR="00A6213B" w:rsidRDefault="00A6213B" w:rsidP="00775439">
      <w:pPr>
        <w:numPr>
          <w:ilvl w:val="0"/>
          <w:numId w:val="50"/>
        </w:numPr>
        <w:spacing w:line="360" w:lineRule="auto"/>
      </w:pPr>
      <w:r w:rsidRPr="00A6213B">
        <w:t>stworzenie warunków do zmiany, funkcjonujących obecnie w większości gospodarstw domowych, tradycyjnych systemów grzewczych na systemy ekologiczne (rozbudowa sieci gazowej oraz zapewnienie ciągłości dostaw energii elektrycznej);</w:t>
      </w:r>
    </w:p>
    <w:p w:rsidR="00A6213B" w:rsidRPr="00470A12" w:rsidRDefault="00A6213B" w:rsidP="00775439">
      <w:pPr>
        <w:pStyle w:val="Akapitzlist"/>
        <w:numPr>
          <w:ilvl w:val="0"/>
          <w:numId w:val="50"/>
        </w:numPr>
        <w:rPr>
          <w:rFonts w:ascii="Georgia" w:hAnsi="Georgia"/>
          <w:lang w:eastAsia="pl-PL"/>
        </w:rPr>
      </w:pPr>
      <w:r w:rsidRPr="006366AE">
        <w:rPr>
          <w:rFonts w:ascii="Georgia" w:hAnsi="Georgia"/>
          <w:lang w:eastAsia="pl-PL"/>
        </w:rPr>
        <w:t xml:space="preserve">popieranie przedsięwzięć polegających na likwidacji małych lokalnych kotłowni węglowych i przebudowie ich na paliwo ekologiczne: gaz ziemny, gaz płynny, paliwa odnawialne. </w:t>
      </w:r>
    </w:p>
    <w:p w:rsidR="00A6213B" w:rsidRPr="007A3AD0" w:rsidRDefault="00A6213B" w:rsidP="007A3AD0">
      <w:pPr>
        <w:pStyle w:val="Nagwek2"/>
      </w:pPr>
      <w:bookmarkStart w:id="261" w:name="_Toc426638172"/>
      <w:bookmarkStart w:id="262" w:name="_Toc427675573"/>
      <w:bookmarkStart w:id="263" w:name="_Toc427734973"/>
      <w:r w:rsidRPr="007A3AD0">
        <w:t>Zamierzenia inwestycyjne</w:t>
      </w:r>
      <w:bookmarkEnd w:id="261"/>
      <w:bookmarkEnd w:id="262"/>
      <w:bookmarkEnd w:id="263"/>
    </w:p>
    <w:p w:rsidR="00A6213B" w:rsidRDefault="00213DC4" w:rsidP="00A6213B">
      <w:pPr>
        <w:spacing w:after="0" w:line="360" w:lineRule="auto"/>
      </w:pPr>
      <w:r>
        <w:t>Gmina Straszyn</w:t>
      </w:r>
      <w:r w:rsidR="00A6213B" w:rsidRPr="00470A12">
        <w:t xml:space="preserve"> w ramach wdrażania Planu Gospodarki Niskoemisyjnej planuje szereg działań inwestycyjnych mających na celu poprawę efektywności energetycznej</w:t>
      </w:r>
      <w:r w:rsidR="00A6213B">
        <w:t xml:space="preserve"> w obiektach użyteczności publicznej oraz budynkach mieszkalnych. Poziom wdrożenia tych działań jest uzależniony od możliwości uzyskania wsparcia finansowego ze źródeł zewnętrznych (RPO, </w:t>
      </w:r>
      <w:proofErr w:type="spellStart"/>
      <w:r w:rsidR="00A6213B">
        <w:t>WFOŚIiGW</w:t>
      </w:r>
      <w:proofErr w:type="spellEnd"/>
      <w:r w:rsidR="00A6213B">
        <w:t xml:space="preserve">, </w:t>
      </w:r>
      <w:proofErr w:type="spellStart"/>
      <w:r w:rsidR="00A6213B">
        <w:t>NFOŚiWG</w:t>
      </w:r>
      <w:proofErr w:type="spellEnd"/>
      <w:r w:rsidR="00A6213B">
        <w:t>, i inne). Działania swym zakresem obejmować będą m.in.:</w:t>
      </w:r>
    </w:p>
    <w:p w:rsidR="00A6213B" w:rsidRPr="00470A12" w:rsidRDefault="00A6213B" w:rsidP="00775439">
      <w:pPr>
        <w:pStyle w:val="Akapitzlist"/>
        <w:numPr>
          <w:ilvl w:val="0"/>
          <w:numId w:val="51"/>
        </w:numPr>
        <w:spacing w:before="0" w:after="0"/>
        <w:ind w:left="709" w:hanging="283"/>
        <w:rPr>
          <w:rFonts w:ascii="Georgia" w:eastAsia="MS Gothic" w:hAnsi="Georgia"/>
          <w:b/>
          <w:bCs/>
          <w:sz w:val="28"/>
          <w:szCs w:val="36"/>
        </w:rPr>
      </w:pPr>
      <w:r>
        <w:rPr>
          <w:rFonts w:ascii="Georgia" w:hAnsi="Georgia"/>
        </w:rPr>
        <w:t>termomodernizację budynków użyteczności publicznej,</w:t>
      </w:r>
    </w:p>
    <w:p w:rsidR="00A6213B" w:rsidRPr="00470A12" w:rsidRDefault="00A6213B" w:rsidP="00775439">
      <w:pPr>
        <w:pStyle w:val="Akapitzlist"/>
        <w:numPr>
          <w:ilvl w:val="0"/>
          <w:numId w:val="51"/>
        </w:numPr>
        <w:spacing w:before="0" w:after="0"/>
        <w:ind w:left="709" w:hanging="283"/>
        <w:rPr>
          <w:rFonts w:ascii="Georgia" w:eastAsia="MS Gothic" w:hAnsi="Georgia"/>
          <w:b/>
          <w:bCs/>
          <w:sz w:val="28"/>
          <w:szCs w:val="36"/>
        </w:rPr>
      </w:pPr>
      <w:r>
        <w:rPr>
          <w:rFonts w:ascii="Georgia" w:hAnsi="Georgia"/>
        </w:rPr>
        <w:t>termomodernizacja budynków mieszkalnych;</w:t>
      </w:r>
    </w:p>
    <w:p w:rsidR="00A6213B" w:rsidRPr="00470A12" w:rsidRDefault="00A6213B" w:rsidP="00775439">
      <w:pPr>
        <w:pStyle w:val="Akapitzlist"/>
        <w:numPr>
          <w:ilvl w:val="0"/>
          <w:numId w:val="51"/>
        </w:numPr>
        <w:spacing w:before="0" w:after="0"/>
        <w:ind w:left="709" w:hanging="283"/>
        <w:rPr>
          <w:rFonts w:ascii="Georgia" w:eastAsia="MS Gothic" w:hAnsi="Georgia"/>
          <w:b/>
          <w:bCs/>
          <w:sz w:val="28"/>
          <w:szCs w:val="36"/>
        </w:rPr>
      </w:pPr>
      <w:r>
        <w:rPr>
          <w:rFonts w:ascii="Georgia" w:hAnsi="Georgia"/>
        </w:rPr>
        <w:t>wymiana źródeł ciepła w indywidualnych gospodarstwach domowych;</w:t>
      </w:r>
    </w:p>
    <w:p w:rsidR="00A6213B" w:rsidRPr="00470A12" w:rsidRDefault="00A6213B" w:rsidP="00775439">
      <w:pPr>
        <w:pStyle w:val="Akapitzlist"/>
        <w:numPr>
          <w:ilvl w:val="0"/>
          <w:numId w:val="51"/>
        </w:numPr>
        <w:spacing w:before="0" w:after="0"/>
        <w:ind w:left="709" w:hanging="283"/>
        <w:rPr>
          <w:rFonts w:ascii="Georgia" w:eastAsia="MS Gothic" w:hAnsi="Georgia"/>
          <w:b/>
          <w:bCs/>
          <w:sz w:val="28"/>
          <w:szCs w:val="36"/>
        </w:rPr>
      </w:pPr>
      <w:r>
        <w:rPr>
          <w:rFonts w:ascii="Georgia" w:hAnsi="Georgia"/>
        </w:rPr>
        <w:t>montaż kolektorów słonecznych.</w:t>
      </w:r>
    </w:p>
    <w:p w:rsidR="00353A52" w:rsidRDefault="00353A52" w:rsidP="00A6213B">
      <w:pPr>
        <w:spacing w:after="0" w:line="360" w:lineRule="auto"/>
        <w:rPr>
          <w:rFonts w:eastAsia="MS Gothic"/>
          <w:bCs/>
          <w:szCs w:val="36"/>
        </w:rPr>
      </w:pPr>
    </w:p>
    <w:p w:rsidR="00F96687" w:rsidRPr="00A6213B" w:rsidRDefault="00A6213B" w:rsidP="00A6213B">
      <w:pPr>
        <w:spacing w:after="0" w:line="360" w:lineRule="auto"/>
        <w:rPr>
          <w:rFonts w:eastAsia="MS Gothic"/>
          <w:bCs/>
          <w:szCs w:val="36"/>
        </w:rPr>
      </w:pPr>
      <w:r>
        <w:rPr>
          <w:rFonts w:eastAsia="MS Gothic"/>
          <w:bCs/>
          <w:szCs w:val="36"/>
        </w:rPr>
        <w:t xml:space="preserve">Poza wyżej wymienionym zadaniami gmina zamierza prowadzić kampanie promocyjne </w:t>
      </w:r>
      <w:r>
        <w:rPr>
          <w:rFonts w:eastAsia="MS Gothic"/>
          <w:bCs/>
          <w:szCs w:val="36"/>
        </w:rPr>
        <w:br/>
        <w:t>i edukacyjne zachęcające mieszkańców do wykorzystywania energii ze źródeł odnawialnych.</w:t>
      </w:r>
    </w:p>
    <w:p w:rsidR="009136E1" w:rsidRPr="007A3AD0" w:rsidRDefault="009136E1" w:rsidP="007A3AD0">
      <w:pPr>
        <w:pStyle w:val="Nagwek1"/>
      </w:pPr>
      <w:bookmarkStart w:id="264" w:name="_Toc427566529"/>
      <w:bookmarkStart w:id="265" w:name="_Toc427675574"/>
      <w:bookmarkStart w:id="266" w:name="_Toc427734974"/>
      <w:r w:rsidRPr="007A3AD0">
        <w:t>Zaopatrzenie w paliwa gazowe</w:t>
      </w:r>
      <w:bookmarkEnd w:id="264"/>
      <w:bookmarkEnd w:id="265"/>
      <w:bookmarkEnd w:id="266"/>
    </w:p>
    <w:p w:rsidR="009136E1" w:rsidRPr="007A3AD0" w:rsidRDefault="009136E1" w:rsidP="007A3AD0">
      <w:pPr>
        <w:pStyle w:val="Nagwek2"/>
      </w:pPr>
      <w:bookmarkStart w:id="267" w:name="_Toc427566530"/>
      <w:bookmarkStart w:id="268" w:name="_Toc427675575"/>
      <w:bookmarkStart w:id="269" w:name="_Toc427734975"/>
      <w:r w:rsidRPr="007A3AD0">
        <w:t>Charakterystyka stanu obecnego</w:t>
      </w:r>
      <w:bookmarkEnd w:id="267"/>
      <w:bookmarkEnd w:id="268"/>
      <w:bookmarkEnd w:id="269"/>
    </w:p>
    <w:p w:rsidR="009136E1" w:rsidRPr="00732A75" w:rsidRDefault="009136E1" w:rsidP="00346380">
      <w:pPr>
        <w:spacing w:line="360" w:lineRule="auto"/>
      </w:pPr>
      <w:r w:rsidRPr="00732A75">
        <w:t>W 2013 r. krajowe wydobycie gazu ziemnego wyniosło 4 469,01 mln m</w:t>
      </w:r>
      <w:r w:rsidRPr="00732A75">
        <w:rPr>
          <w:vertAlign w:val="superscript"/>
        </w:rPr>
        <w:t xml:space="preserve">3 </w:t>
      </w:r>
      <w:r w:rsidRPr="00732A75">
        <w:t xml:space="preserve">(w przeliczeniu na gaz ziemny </w:t>
      </w:r>
      <w:proofErr w:type="spellStart"/>
      <w:r w:rsidRPr="00732A75">
        <w:t>wysokometanowy</w:t>
      </w:r>
      <w:proofErr w:type="spellEnd"/>
      <w:r w:rsidRPr="00732A75">
        <w:t xml:space="preserve">), co stanowiło ok. 27,4% krajowego bilansu dostaw gazu ziemnego. Całkowity przywóz gazu ziemnego do Polski w 2013 r. wyniósł </w:t>
      </w:r>
      <w:r w:rsidRPr="00732A75">
        <w:br/>
        <w:t>11 818,10 mln m</w:t>
      </w:r>
      <w:r w:rsidRPr="00732A75">
        <w:rPr>
          <w:vertAlign w:val="superscript"/>
        </w:rPr>
        <w:t>3</w:t>
      </w:r>
      <w:r w:rsidRPr="00732A75">
        <w:t xml:space="preserve">, z tego: </w:t>
      </w:r>
    </w:p>
    <w:p w:rsidR="009136E1" w:rsidRPr="00732A75" w:rsidRDefault="009136E1" w:rsidP="00775439">
      <w:pPr>
        <w:pStyle w:val="Akapitzlist"/>
        <w:numPr>
          <w:ilvl w:val="0"/>
          <w:numId w:val="35"/>
        </w:numPr>
        <w:rPr>
          <w:rFonts w:ascii="Georgia" w:hAnsi="Georgia"/>
        </w:rPr>
      </w:pPr>
      <w:r w:rsidRPr="00732A75">
        <w:rPr>
          <w:rFonts w:ascii="Georgia" w:hAnsi="Georgia"/>
        </w:rPr>
        <w:t xml:space="preserve">import gazu ziemnego z kierunku wschodniego (w tym poprzez gazociąg </w:t>
      </w:r>
      <w:proofErr w:type="spellStart"/>
      <w:r w:rsidRPr="00732A75">
        <w:rPr>
          <w:rFonts w:ascii="Georgia" w:hAnsi="Georgia"/>
        </w:rPr>
        <w:t>Jamał</w:t>
      </w:r>
      <w:proofErr w:type="spellEnd"/>
      <w:r w:rsidRPr="00732A75">
        <w:rPr>
          <w:rFonts w:ascii="Georgia" w:hAnsi="Georgia"/>
        </w:rPr>
        <w:t>– Europa) – 9 114,73 mln m</w:t>
      </w:r>
      <w:r w:rsidRPr="00732A75">
        <w:rPr>
          <w:rFonts w:ascii="Georgia" w:hAnsi="Georgia"/>
          <w:vertAlign w:val="superscript"/>
        </w:rPr>
        <w:t>3</w:t>
      </w:r>
      <w:r w:rsidRPr="00732A75">
        <w:rPr>
          <w:rFonts w:ascii="Georgia" w:hAnsi="Georgia"/>
        </w:rPr>
        <w:t xml:space="preserve">, </w:t>
      </w:r>
    </w:p>
    <w:p w:rsidR="009136E1" w:rsidRPr="00732A75" w:rsidRDefault="009136E1" w:rsidP="00775439">
      <w:pPr>
        <w:pStyle w:val="Akapitzlist"/>
        <w:numPr>
          <w:ilvl w:val="0"/>
          <w:numId w:val="34"/>
        </w:numPr>
        <w:rPr>
          <w:rFonts w:ascii="Georgia" w:hAnsi="Georgia"/>
        </w:rPr>
      </w:pPr>
      <w:r w:rsidRPr="00732A75">
        <w:rPr>
          <w:rFonts w:ascii="Georgia" w:hAnsi="Georgia"/>
        </w:rPr>
        <w:t xml:space="preserve">nabycie </w:t>
      </w:r>
      <w:proofErr w:type="spellStart"/>
      <w:r w:rsidRPr="00732A75">
        <w:rPr>
          <w:rFonts w:ascii="Georgia" w:hAnsi="Georgia"/>
        </w:rPr>
        <w:t>wewnątrzwspólnotowe</w:t>
      </w:r>
      <w:proofErr w:type="spellEnd"/>
      <w:r w:rsidRPr="00732A75">
        <w:rPr>
          <w:rFonts w:ascii="Georgia" w:hAnsi="Georgia"/>
        </w:rPr>
        <w:t xml:space="preserve"> gazu ziemnego z Niemiec – 2 149,96 mln m</w:t>
      </w:r>
      <w:r w:rsidRPr="00732A75">
        <w:rPr>
          <w:rFonts w:ascii="Georgia" w:hAnsi="Georgia"/>
          <w:vertAlign w:val="superscript"/>
        </w:rPr>
        <w:t>3</w:t>
      </w:r>
      <w:r w:rsidRPr="00732A75">
        <w:rPr>
          <w:rFonts w:ascii="Georgia" w:hAnsi="Georgia"/>
        </w:rPr>
        <w:t xml:space="preserve">, </w:t>
      </w:r>
    </w:p>
    <w:p w:rsidR="009136E1" w:rsidRPr="00732A75" w:rsidRDefault="009136E1" w:rsidP="00775439">
      <w:pPr>
        <w:pStyle w:val="Akapitzlist"/>
        <w:numPr>
          <w:ilvl w:val="0"/>
          <w:numId w:val="33"/>
        </w:numPr>
        <w:rPr>
          <w:rFonts w:ascii="Georgia" w:hAnsi="Georgia"/>
        </w:rPr>
      </w:pPr>
      <w:r w:rsidRPr="00732A75">
        <w:rPr>
          <w:rFonts w:ascii="Georgia" w:hAnsi="Georgia"/>
        </w:rPr>
        <w:lastRenderedPageBreak/>
        <w:t xml:space="preserve">nabycie </w:t>
      </w:r>
      <w:proofErr w:type="spellStart"/>
      <w:r w:rsidRPr="00732A75">
        <w:rPr>
          <w:rFonts w:ascii="Georgia" w:hAnsi="Georgia"/>
        </w:rPr>
        <w:t>wewnątrzwspólnotowe</w:t>
      </w:r>
      <w:proofErr w:type="spellEnd"/>
      <w:r w:rsidRPr="00732A75">
        <w:rPr>
          <w:rFonts w:ascii="Georgia" w:hAnsi="Georgia"/>
        </w:rPr>
        <w:t xml:space="preserve"> gazu ziemnego z Republiki Czeskiej – </w:t>
      </w:r>
      <w:r w:rsidRPr="00732A75">
        <w:rPr>
          <w:rFonts w:ascii="Georgia" w:hAnsi="Georgia"/>
        </w:rPr>
        <w:br/>
        <w:t>553,41 mln m</w:t>
      </w:r>
      <w:r w:rsidRPr="00732A75">
        <w:rPr>
          <w:rFonts w:ascii="Georgia" w:hAnsi="Georgia"/>
          <w:vertAlign w:val="superscript"/>
        </w:rPr>
        <w:t>3</w:t>
      </w:r>
      <w:r w:rsidRPr="00732A75">
        <w:rPr>
          <w:rFonts w:ascii="Georgia" w:hAnsi="Georgia"/>
        </w:rPr>
        <w:t>. Eksport gazu ziemnego z Polski w 2013 r. wyniósł 87,18 mln m</w:t>
      </w:r>
      <w:r w:rsidRPr="00732A75">
        <w:rPr>
          <w:rFonts w:ascii="Georgia" w:hAnsi="Georgia"/>
          <w:vertAlign w:val="superscript"/>
        </w:rPr>
        <w:t>3</w:t>
      </w:r>
      <w:r w:rsidRPr="00732A75">
        <w:rPr>
          <w:rFonts w:ascii="Georgia" w:hAnsi="Georgia"/>
        </w:rPr>
        <w:t>. Struktura zaopatrzenia kraju w gaz ziemny w 2013 roku zost</w:t>
      </w:r>
      <w:r>
        <w:rPr>
          <w:rFonts w:ascii="Georgia" w:hAnsi="Georgia"/>
        </w:rPr>
        <w:t>a</w:t>
      </w:r>
      <w:r w:rsidR="007A3AD0">
        <w:rPr>
          <w:rFonts w:ascii="Georgia" w:hAnsi="Georgia"/>
        </w:rPr>
        <w:t xml:space="preserve">ła przedstawiona na </w:t>
      </w:r>
      <w:r w:rsidR="007A3AD0">
        <w:rPr>
          <w:rFonts w:ascii="Georgia" w:hAnsi="Georgia"/>
        </w:rPr>
        <w:br/>
        <w:t>wykresie 14</w:t>
      </w:r>
      <w:r w:rsidRPr="00732A75">
        <w:rPr>
          <w:rFonts w:ascii="Georgia" w:hAnsi="Georgia"/>
        </w:rPr>
        <w:t>.</w:t>
      </w:r>
    </w:p>
    <w:p w:rsidR="00346380" w:rsidRDefault="009136E1" w:rsidP="00346380">
      <w:pPr>
        <w:keepNext/>
        <w:jc w:val="center"/>
      </w:pPr>
      <w:r w:rsidRPr="00732A75">
        <w:rPr>
          <w:noProof/>
          <w:lang w:eastAsia="pl-PL"/>
        </w:rPr>
        <w:drawing>
          <wp:inline distT="0" distB="0" distL="0" distR="0">
            <wp:extent cx="4124325" cy="2743200"/>
            <wp:effectExtent l="0" t="0" r="0" b="0"/>
            <wp:docPr id="30" name="Wykres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9136E1" w:rsidRPr="00353A52" w:rsidRDefault="00353A52" w:rsidP="00353A52">
      <w:pPr>
        <w:pStyle w:val="Legenda"/>
        <w:jc w:val="right"/>
        <w:rPr>
          <w:color w:val="auto"/>
        </w:rPr>
      </w:pPr>
      <w:bookmarkStart w:id="270" w:name="_Toc427675435"/>
      <w:r>
        <w:rPr>
          <w:color w:val="auto"/>
        </w:rPr>
        <w:t>W</w:t>
      </w:r>
      <w:r w:rsidR="00346380" w:rsidRPr="00353A52">
        <w:rPr>
          <w:color w:val="auto"/>
        </w:rPr>
        <w:t xml:space="preserve">ykres </w:t>
      </w:r>
      <w:r w:rsidR="00A93FFF" w:rsidRPr="00353A52">
        <w:rPr>
          <w:color w:val="auto"/>
        </w:rPr>
        <w:fldChar w:fldCharType="begin"/>
      </w:r>
      <w:r w:rsidR="00F70A25" w:rsidRPr="00353A52">
        <w:rPr>
          <w:color w:val="auto"/>
        </w:rPr>
        <w:instrText xml:space="preserve"> SEQ wykres \* ARABIC </w:instrText>
      </w:r>
      <w:r w:rsidR="00A93FFF" w:rsidRPr="00353A52">
        <w:rPr>
          <w:color w:val="auto"/>
        </w:rPr>
        <w:fldChar w:fldCharType="separate"/>
      </w:r>
      <w:r w:rsidR="00871648">
        <w:rPr>
          <w:noProof/>
          <w:color w:val="auto"/>
        </w:rPr>
        <w:t>14</w:t>
      </w:r>
      <w:r w:rsidR="00A93FFF" w:rsidRPr="00353A52">
        <w:rPr>
          <w:color w:val="auto"/>
        </w:rPr>
        <w:fldChar w:fldCharType="end"/>
      </w:r>
      <w:r w:rsidR="00346380" w:rsidRPr="00353A52">
        <w:rPr>
          <w:color w:val="auto"/>
        </w:rPr>
        <w:t>. Struktura zaopatrzenia kraju w gaz ziemny w roku 2013 (źródło: Ministerstwo Gospodarki: Sprawozdanie z wyników monitorowania bezpieczeństwa dostaw paliw gazowych, Warszawa, 2014)</w:t>
      </w:r>
      <w:bookmarkEnd w:id="270"/>
    </w:p>
    <w:p w:rsidR="007A3AD0" w:rsidRDefault="007A3AD0" w:rsidP="009136E1">
      <w:pPr>
        <w:spacing w:line="360" w:lineRule="auto"/>
      </w:pPr>
      <w:r>
        <w:rPr>
          <w:noProof/>
          <w:lang w:eastAsia="pl-PL"/>
        </w:rPr>
        <w:lastRenderedPageBreak/>
        <w:drawing>
          <wp:anchor distT="0" distB="0" distL="114300" distR="114300" simplePos="0" relativeHeight="251665408" behindDoc="0" locked="0" layoutInCell="1" allowOverlap="1">
            <wp:simplePos x="0" y="0"/>
            <wp:positionH relativeFrom="margin">
              <wp:align>center</wp:align>
            </wp:positionH>
            <wp:positionV relativeFrom="margin">
              <wp:posOffset>1813560</wp:posOffset>
            </wp:positionV>
            <wp:extent cx="6400800" cy="6078220"/>
            <wp:effectExtent l="19050" t="0" r="0" b="0"/>
            <wp:wrapSquare wrapText="bothSides"/>
            <wp:docPr id="34" name="Obraz 1" descr="C:\Users\Agnieszka\Desktop\pgnig_mapa_duza.jp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gnieszka\Desktop\pgnig_mapa_duza.jpg.gif"/>
                    <pic:cNvPicPr>
                      <a:picLocks noChangeAspect="1" noChangeArrowheads="1"/>
                    </pic:cNvPicPr>
                  </pic:nvPicPr>
                  <pic:blipFill rotWithShape="1">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279"/>
                    <a:stretch/>
                  </pic:blipFill>
                  <pic:spPr bwMode="auto">
                    <a:xfrm>
                      <a:off x="0" y="0"/>
                      <a:ext cx="6400800" cy="6078220"/>
                    </a:xfrm>
                    <a:prstGeom prst="rect">
                      <a:avLst/>
                    </a:prstGeom>
                    <a:ln>
                      <a:noFill/>
                    </a:ln>
                    <a:effectLst>
                      <a:softEdge rad="112500"/>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136E1" w:rsidRPr="00732A75">
        <w:t xml:space="preserve">Obecnie najważniejsze funkcje i zadania związane z przesyłaniem i dystrybucją gazu ziemnego realizowane są z wykorzystaniem istniejącej infrastruktury technicznej, której elementami </w:t>
      </w:r>
      <w:proofErr w:type="spellStart"/>
      <w:r w:rsidR="009136E1" w:rsidRPr="00732A75">
        <w:t>są:system</w:t>
      </w:r>
      <w:proofErr w:type="spellEnd"/>
      <w:r w:rsidR="009136E1" w:rsidRPr="00732A75">
        <w:t xml:space="preserve"> gazociągów </w:t>
      </w:r>
      <w:proofErr w:type="spellStart"/>
      <w:r w:rsidR="009136E1" w:rsidRPr="00732A75">
        <w:t>przesyłowych,system</w:t>
      </w:r>
      <w:proofErr w:type="spellEnd"/>
      <w:r w:rsidR="009136E1" w:rsidRPr="00732A75">
        <w:t xml:space="preserve"> gazociągów </w:t>
      </w:r>
      <w:proofErr w:type="spellStart"/>
      <w:r w:rsidR="009136E1" w:rsidRPr="00732A75">
        <w:t>dystrybucyjnych,gazociąg</w:t>
      </w:r>
      <w:proofErr w:type="spellEnd"/>
      <w:r w:rsidR="009136E1" w:rsidRPr="00732A75">
        <w:t xml:space="preserve"> tranzytowy (włączony w sieć gazociągów europejskich),magazyny </w:t>
      </w:r>
      <w:proofErr w:type="spellStart"/>
      <w:r w:rsidR="009136E1" w:rsidRPr="00732A75">
        <w:t>gazu</w:t>
      </w:r>
      <w:r w:rsidR="0026361C">
        <w:t>.</w:t>
      </w:r>
      <w:r w:rsidR="00A93FFF">
        <w:rPr>
          <w:noProof/>
          <w:lang w:eastAsia="pl-PL"/>
        </w:rPr>
        <w:pict>
          <v:shape id="Text Box 9" o:spid="_x0000_s1027" type="#_x0000_t202" style="position:absolute;left:0;text-align:left;margin-left:-47.35pt;margin-top:637.3pt;width:535.5pt;height:43.7pt;z-index:251669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" stroked="f">
            <v:textbox style="mso-fit-shape-to-text:t" inset="0,0,0,0">
              <w:txbxContent>
                <w:p w:rsidR="00871648" w:rsidRPr="007A3AD0" w:rsidRDefault="00871648" w:rsidP="00353A52">
                  <w:pPr>
                    <w:pStyle w:val="Legenda"/>
                    <w:jc w:val="right"/>
                    <w:rPr>
                      <w:color w:val="auto"/>
                    </w:rPr>
                  </w:pPr>
                  <w:bookmarkStart w:id="271" w:name="_Toc427675261"/>
                  <w:r w:rsidRPr="007A3AD0">
                    <w:rPr>
                      <w:color w:val="auto"/>
                    </w:rPr>
                    <w:t xml:space="preserve">Mapa </w:t>
                  </w:r>
                  <w:r w:rsidRPr="007A3AD0">
                    <w:rPr>
                      <w:color w:val="auto"/>
                    </w:rPr>
                    <w:fldChar w:fldCharType="begin"/>
                  </w:r>
                  <w:r w:rsidRPr="007A3AD0">
                    <w:rPr>
                      <w:color w:val="auto"/>
                    </w:rPr>
                    <w:instrText xml:space="preserve"> SEQ Mapa \* ARABIC </w:instrText>
                  </w:r>
                  <w:r w:rsidRPr="007A3AD0">
                    <w:rPr>
                      <w:color w:val="auto"/>
                    </w:rPr>
                    <w:fldChar w:fldCharType="separate"/>
                  </w:r>
                  <w:r>
                    <w:rPr>
                      <w:noProof/>
                      <w:color w:val="auto"/>
                    </w:rPr>
                    <w:t>6</w:t>
                  </w:r>
                  <w:r w:rsidRPr="007A3AD0">
                    <w:rPr>
                      <w:color w:val="auto"/>
                    </w:rPr>
                    <w:fldChar w:fldCharType="end"/>
                  </w:r>
                  <w:r w:rsidRPr="007A3AD0">
                    <w:rPr>
                      <w:color w:val="auto"/>
                    </w:rPr>
                    <w:t>. mapa Polskiego Systemu Gazownictwa</w:t>
                  </w:r>
                  <w:bookmarkEnd w:id="271"/>
                </w:p>
                <w:p w:rsidR="00871648" w:rsidRPr="007A3AD0" w:rsidRDefault="00871648" w:rsidP="00353A52">
                  <w:pPr>
                    <w:jc w:val="right"/>
                  </w:pPr>
                  <w:r w:rsidRPr="007A3AD0">
                    <w:t>(źródło: http://geoland.pl/dodatkiold/infrastruktura_i/pgnig_mapa_duza.gif)</w:t>
                  </w:r>
                </w:p>
              </w:txbxContent>
            </v:textbox>
            <w10:wrap type="square"/>
          </v:shape>
        </w:pict>
      </w:r>
      <w:r w:rsidR="009136E1" w:rsidRPr="00732A75">
        <w:t>Obecnie</w:t>
      </w:r>
      <w:proofErr w:type="spellEnd"/>
      <w:r w:rsidR="009136E1" w:rsidRPr="00732A75">
        <w:t xml:space="preserve"> od systemu przesyłowego wymagana jest jeszcze jedna ważna cecha: powinien on zapewnić odbiorcy zaopatrywanie się w gaz od dowolnie wybranego dostawcy. </w:t>
      </w:r>
    </w:p>
    <w:p w:rsidR="007A3AD0" w:rsidRDefault="007A3AD0" w:rsidP="009136E1">
      <w:pPr>
        <w:spacing w:line="360" w:lineRule="auto"/>
      </w:pPr>
    </w:p>
    <w:p w:rsidR="0013718A" w:rsidRDefault="009136E1" w:rsidP="0026361C">
      <w:pPr>
        <w:spacing w:line="360" w:lineRule="auto"/>
      </w:pPr>
      <w:r w:rsidRPr="00732A75">
        <w:t xml:space="preserve">Dla realizacji tych zadań system musi posiadać: dużą niezawodność działania, sieć gazociągów uwzględniającą kierunki dostaw gazu od dostawców oraz odpowiednie </w:t>
      </w:r>
      <w:proofErr w:type="spellStart"/>
      <w:r w:rsidRPr="00732A75">
        <w:t>opomiarowanie</w:t>
      </w:r>
      <w:proofErr w:type="spellEnd"/>
      <w:r w:rsidRPr="00732A75">
        <w:t>, umożliwiające bieżące bilansowanie gazu (na „wejś</w:t>
      </w:r>
      <w:r w:rsidR="007A3AD0">
        <w:t>ciach” i „wyjściach” z systemu)</w:t>
      </w:r>
      <w:r w:rsidR="0013718A">
        <w:t>.</w:t>
      </w:r>
    </w:p>
    <w:p w:rsidR="0026361C" w:rsidRDefault="0013718A" w:rsidP="0026361C">
      <w:pPr>
        <w:spacing w:line="360" w:lineRule="auto"/>
      </w:pPr>
      <w:r>
        <w:t>N</w:t>
      </w:r>
      <w:r w:rsidR="0026361C" w:rsidRPr="0026361C">
        <w:t>a terenie Gminy Strawczyn nie ma sieci gazowniczej. W planach gminy jest jej zgazyfikowanie. Możliwe jest przyłączenie Gminy do gazociągu relacji Końskie – Radoszyce – Łopuszno. Koncepcja gazyfikacji Gminy Strawczyn zakłada, że rozdział gazu odbywać się będzie za pomocą sieci gazowej średniego ciśnienia z bezpośrednią redukcją u odbiorców.</w:t>
      </w: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Default="0013718A" w:rsidP="0026361C">
      <w:pPr>
        <w:spacing w:line="360" w:lineRule="auto"/>
      </w:pPr>
    </w:p>
    <w:p w:rsidR="0013718A" w:rsidRPr="0026361C" w:rsidRDefault="0013718A" w:rsidP="0026361C">
      <w:pPr>
        <w:spacing w:line="360" w:lineRule="auto"/>
      </w:pPr>
    </w:p>
    <w:p w:rsidR="00AB5CB4" w:rsidRPr="007A3AD0" w:rsidRDefault="00AB5CB4" w:rsidP="007A3AD0">
      <w:pPr>
        <w:pStyle w:val="Nagwek1"/>
      </w:pPr>
      <w:bookmarkStart w:id="272" w:name="_Toc427566534"/>
      <w:bookmarkStart w:id="273" w:name="_Toc427675576"/>
      <w:bookmarkStart w:id="274" w:name="_Toc427734976"/>
      <w:r w:rsidRPr="007A3AD0">
        <w:lastRenderedPageBreak/>
        <w:t>System elektroenergetyczny</w:t>
      </w:r>
      <w:bookmarkEnd w:id="272"/>
      <w:bookmarkEnd w:id="273"/>
      <w:bookmarkEnd w:id="274"/>
    </w:p>
    <w:p w:rsidR="00AB5CB4" w:rsidRPr="007A3AD0" w:rsidRDefault="00AB5CB4" w:rsidP="007A3AD0">
      <w:pPr>
        <w:pStyle w:val="Nagwek2"/>
      </w:pPr>
      <w:bookmarkStart w:id="275" w:name="_Toc427566535"/>
      <w:bookmarkStart w:id="276" w:name="_Toc427675577"/>
      <w:bookmarkStart w:id="277" w:name="_Toc427734977"/>
      <w:r w:rsidRPr="007A3AD0">
        <w:t>Charakterystyka stanu istniejącego</w:t>
      </w:r>
      <w:bookmarkEnd w:id="275"/>
      <w:bookmarkEnd w:id="276"/>
      <w:bookmarkEnd w:id="277"/>
    </w:p>
    <w:p w:rsidR="00AB5CB4" w:rsidRPr="00DE5A45" w:rsidRDefault="00AB5CB4" w:rsidP="00AB5CB4">
      <w:pPr>
        <w:spacing w:line="360" w:lineRule="auto"/>
      </w:pPr>
      <w:r w:rsidRPr="00DE5A45">
        <w:t xml:space="preserve">Wytworzonej w elektrowni energii elektrycznej nie można magazynować, co oznacza, że system jej przesyłu musi być na tyle elastyczny, aby w każdym momencie dostarczyć odpowiednią ilość energii do właściwych odbiorców. W pracy systemu przesyłowego konieczne jest przesyłanie energii na znaczne odległości oraz utrzymywanie zdolności do zmiany kierunków i ilości przesyłanej energii. Aby zapewnić takie funkcjonowanie systemu, niezbędne jest utrzymywanie i rozwój sieci najwyższych napięć, dzięki którym można przesłać największą ilość energii w najkrótszym czasie oraz zminimalizować straty energii w trakcie jej przesyłu. </w:t>
      </w:r>
    </w:p>
    <w:p w:rsidR="00AB5CB4" w:rsidRPr="00DE5A45" w:rsidRDefault="00AB5CB4" w:rsidP="00AB5CB4">
      <w:pPr>
        <w:spacing w:after="0" w:line="360" w:lineRule="auto"/>
      </w:pPr>
      <w:r w:rsidRPr="00DE5A45">
        <w:t xml:space="preserve">Obecnie w Polsce eksploatowanych jest ok. 8 tys. km linii o napięciu 220 </w:t>
      </w:r>
      <w:proofErr w:type="spellStart"/>
      <w:r w:rsidRPr="00DE5A45">
        <w:t>kV</w:t>
      </w:r>
      <w:proofErr w:type="spellEnd"/>
      <w:r w:rsidRPr="00DE5A45">
        <w:t xml:space="preserve"> i 5 tys. km linii o napięciu 400 </w:t>
      </w:r>
      <w:proofErr w:type="spellStart"/>
      <w:r w:rsidRPr="00DE5A45">
        <w:t>kV</w:t>
      </w:r>
      <w:proofErr w:type="spellEnd"/>
      <w:r w:rsidRPr="00DE5A45">
        <w:t xml:space="preserve">. Dostarczenie energii elektrycznej do gospodarstw domowych jest możliwe dzięki właściwemu funkcjonowaniu rozległego systemu stacji i linii elektroenergetycznych o różnych napięciach. Ogólny schemat sieci przesyłowej najwyższych napięć (750, 400, 220 </w:t>
      </w:r>
      <w:proofErr w:type="spellStart"/>
      <w:r w:rsidRPr="00DE5A45">
        <w:t>kV</w:t>
      </w:r>
      <w:proofErr w:type="spellEnd"/>
      <w:r w:rsidRPr="00DE5A45">
        <w:t xml:space="preserve">) wraz z połączeniami zagranicznymi krajowego systemu elektroenergetycznego został przedstawiony na </w:t>
      </w:r>
      <w:r w:rsidR="007A3AD0">
        <w:t>mapie 7</w:t>
      </w:r>
      <w:r>
        <w:t>.</w:t>
      </w:r>
    </w:p>
    <w:p w:rsidR="007A3AD0" w:rsidRDefault="00AB5CB4" w:rsidP="007A3AD0">
      <w:pPr>
        <w:keepNext/>
        <w:jc w:val="center"/>
      </w:pPr>
      <w:r w:rsidRPr="008A1F5F">
        <w:rPr>
          <w:rFonts w:ascii="Trebuchet MS" w:hAnsi="Trebuchet MS"/>
          <w:noProof/>
          <w:lang w:eastAsia="pl-PL"/>
        </w:rPr>
        <w:drawing>
          <wp:inline distT="0" distB="0" distL="0" distR="0">
            <wp:extent cx="5203470" cy="3657600"/>
            <wp:effectExtent l="0" t="0" r="0" b="0"/>
            <wp:docPr id="8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05485" cy="3659017"/>
                    </a:xfrm>
                    <a:prstGeom prst="rect">
                      <a:avLst/>
                    </a:prstGeom>
                    <a:noFill/>
                  </pic:spPr>
                </pic:pic>
              </a:graphicData>
            </a:graphic>
          </wp:inline>
        </w:drawing>
      </w:r>
    </w:p>
    <w:p w:rsidR="00AB5CB4" w:rsidRPr="007A3AD0" w:rsidRDefault="007A3AD0" w:rsidP="004E3043">
      <w:pPr>
        <w:pStyle w:val="Legenda"/>
        <w:jc w:val="right"/>
        <w:rPr>
          <w:rFonts w:ascii="Trebuchet MS" w:hAnsi="Trebuchet MS"/>
          <w:color w:val="auto"/>
        </w:rPr>
      </w:pPr>
      <w:bookmarkStart w:id="278" w:name="_Toc427675262"/>
      <w:r w:rsidRPr="007A3AD0">
        <w:rPr>
          <w:color w:val="auto"/>
        </w:rPr>
        <w:t xml:space="preserve">Mapa </w:t>
      </w:r>
      <w:r w:rsidR="00A93FFF" w:rsidRPr="007A3AD0">
        <w:rPr>
          <w:color w:val="auto"/>
        </w:rPr>
        <w:fldChar w:fldCharType="begin"/>
      </w:r>
      <w:r w:rsidRPr="007A3AD0">
        <w:rPr>
          <w:color w:val="auto"/>
        </w:rPr>
        <w:instrText xml:space="preserve"> SEQ Mapa \* ARABIC </w:instrText>
      </w:r>
      <w:r w:rsidR="00A93FFF" w:rsidRPr="007A3AD0">
        <w:rPr>
          <w:color w:val="auto"/>
        </w:rPr>
        <w:fldChar w:fldCharType="separate"/>
      </w:r>
      <w:r w:rsidR="00871648">
        <w:rPr>
          <w:noProof/>
          <w:color w:val="auto"/>
        </w:rPr>
        <w:t>7</w:t>
      </w:r>
      <w:r w:rsidR="00A93FFF" w:rsidRPr="007A3AD0">
        <w:rPr>
          <w:color w:val="auto"/>
        </w:rPr>
        <w:fldChar w:fldCharType="end"/>
      </w:r>
      <w:r w:rsidR="004E3043">
        <w:rPr>
          <w:color w:val="auto"/>
        </w:rPr>
        <w:t xml:space="preserve">. </w:t>
      </w:r>
      <w:r w:rsidRPr="007A3AD0">
        <w:rPr>
          <w:color w:val="auto"/>
        </w:rPr>
        <w:t xml:space="preserve"> Krajowy System Elektroenergetyczny (http://www.pse.pl/index.php?dzid=77)</w:t>
      </w:r>
      <w:bookmarkEnd w:id="278"/>
    </w:p>
    <w:p w:rsidR="00AB5CB4" w:rsidRPr="00AB5CB4" w:rsidRDefault="00AB5CB4" w:rsidP="00AB5CB4">
      <w:pPr>
        <w:spacing w:line="360" w:lineRule="auto"/>
        <w:rPr>
          <w:rFonts w:ascii="Trebuchet MS" w:hAnsi="Trebuchet MS"/>
        </w:rPr>
      </w:pPr>
    </w:p>
    <w:p w:rsidR="00AB5CB4" w:rsidRDefault="00AB5CB4" w:rsidP="00AB5CB4">
      <w:pPr>
        <w:spacing w:line="360" w:lineRule="auto"/>
      </w:pPr>
      <w:r w:rsidRPr="00DE5A45">
        <w:lastRenderedPageBreak/>
        <w:t xml:space="preserve">W Polsce największą moc zainstalowaną mają elektrownie na węglu kamiennym. Drugie miejsce zajmują elektrownie na węglu brunatnym. Odnawialne źródła energii stanowią 9% ogólnej mocy zainstalowanej na terenie </w:t>
      </w:r>
      <w:r>
        <w:t>kraju.</w:t>
      </w:r>
    </w:p>
    <w:p w:rsidR="007A3AD0" w:rsidRDefault="00AB5CB4" w:rsidP="007A3AD0">
      <w:pPr>
        <w:keepNext/>
        <w:jc w:val="center"/>
      </w:pPr>
      <w:r>
        <w:rPr>
          <w:rFonts w:ascii="Trebuchet MS" w:hAnsi="Trebuchet MS"/>
          <w:noProof/>
          <w:lang w:eastAsia="pl-PL"/>
        </w:rPr>
        <w:drawing>
          <wp:inline distT="0" distB="0" distL="0" distR="0">
            <wp:extent cx="4629515" cy="3343275"/>
            <wp:effectExtent l="19050" t="0" r="0" b="0"/>
            <wp:docPr id="11"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29515" cy="3343275"/>
                    </a:xfrm>
                    <a:prstGeom prst="rect">
                      <a:avLst/>
                    </a:prstGeom>
                    <a:noFill/>
                  </pic:spPr>
                </pic:pic>
              </a:graphicData>
            </a:graphic>
          </wp:inline>
        </w:drawing>
      </w:r>
    </w:p>
    <w:p w:rsidR="00D73970" w:rsidRPr="007863F0" w:rsidRDefault="007A3AD0" w:rsidP="004E3043">
      <w:pPr>
        <w:pStyle w:val="Legenda"/>
        <w:jc w:val="right"/>
        <w:rPr>
          <w:color w:val="auto"/>
        </w:rPr>
      </w:pPr>
      <w:bookmarkStart w:id="279" w:name="_Toc427675436"/>
      <w:r w:rsidRPr="007A3AD0">
        <w:rPr>
          <w:color w:val="auto"/>
        </w:rPr>
        <w:t xml:space="preserve">wykres </w:t>
      </w:r>
      <w:r w:rsidR="00A93FFF" w:rsidRPr="007A3AD0">
        <w:rPr>
          <w:color w:val="auto"/>
        </w:rPr>
        <w:fldChar w:fldCharType="begin"/>
      </w:r>
      <w:r w:rsidRPr="007A3AD0">
        <w:rPr>
          <w:color w:val="auto"/>
        </w:rPr>
        <w:instrText xml:space="preserve"> SEQ wykres \* ARABIC </w:instrText>
      </w:r>
      <w:r w:rsidR="00A93FFF" w:rsidRPr="007A3AD0">
        <w:rPr>
          <w:color w:val="auto"/>
        </w:rPr>
        <w:fldChar w:fldCharType="separate"/>
      </w:r>
      <w:r w:rsidR="00871648">
        <w:rPr>
          <w:noProof/>
          <w:color w:val="auto"/>
        </w:rPr>
        <w:t>15</w:t>
      </w:r>
      <w:r w:rsidR="00A93FFF" w:rsidRPr="007A3AD0">
        <w:rPr>
          <w:color w:val="auto"/>
        </w:rPr>
        <w:fldChar w:fldCharType="end"/>
      </w:r>
      <w:r w:rsidRPr="007A3AD0">
        <w:rPr>
          <w:color w:val="auto"/>
        </w:rPr>
        <w:t>. Struktura mocy zainstalowanej w krajowym systemie elektroenergetycznym według stanu na dzień 31.12.2013 roku (źródło: http://www.pse.pl/index.php?dzid=77)</w:t>
      </w:r>
      <w:bookmarkEnd w:id="279"/>
    </w:p>
    <w:p w:rsidR="00D73970" w:rsidRPr="00D73970" w:rsidRDefault="00D73970" w:rsidP="00D73970">
      <w:r w:rsidRPr="00F04E84">
        <w:t>Dystrybutorem energii elektr</w:t>
      </w:r>
      <w:r>
        <w:t>ycznej na terenie gminy Strawczyn</w:t>
      </w:r>
      <w:r w:rsidRPr="00F04E84">
        <w:t xml:space="preserve"> jest PGE Dystrybucja S.A.</w:t>
      </w:r>
    </w:p>
    <w:p w:rsidR="00D73970" w:rsidRPr="007863F0" w:rsidRDefault="00D73970" w:rsidP="007863F0">
      <w:pPr>
        <w:pStyle w:val="Nagwek2"/>
      </w:pPr>
      <w:bookmarkStart w:id="280" w:name="_Toc426638181"/>
      <w:bookmarkStart w:id="281" w:name="_Toc427675578"/>
      <w:bookmarkStart w:id="282" w:name="_Toc427734978"/>
      <w:r w:rsidRPr="007863F0">
        <w:t>Prognoza zapotrzebowania na energię elektryczną</w:t>
      </w:r>
      <w:bookmarkEnd w:id="280"/>
      <w:bookmarkEnd w:id="281"/>
      <w:bookmarkEnd w:id="282"/>
    </w:p>
    <w:p w:rsidR="00D73970" w:rsidRPr="00F04E84" w:rsidRDefault="00D73970" w:rsidP="007863F0">
      <w:pPr>
        <w:spacing w:line="360" w:lineRule="auto"/>
      </w:pPr>
      <w:r w:rsidRPr="00F04E84">
        <w:t>Na potrzeby prognozy zapotrzebowania na e</w:t>
      </w:r>
      <w:r w:rsidR="007863F0">
        <w:t>nergię elektryczną gminy Strawczyn</w:t>
      </w:r>
      <w:r w:rsidRPr="00F04E84">
        <w:t xml:space="preserve"> założono trzy warianty zmian zapotrzebowania na energię elektryczną do roku 2020.</w:t>
      </w:r>
    </w:p>
    <w:p w:rsidR="00D73970" w:rsidRDefault="00D73970" w:rsidP="007863F0">
      <w:pPr>
        <w:spacing w:line="360" w:lineRule="auto"/>
      </w:pPr>
      <w:r w:rsidRPr="00F04E84">
        <w:rPr>
          <w:b/>
        </w:rPr>
        <w:t>WARIANT I</w:t>
      </w:r>
      <w:r w:rsidRPr="00F04E84">
        <w:t xml:space="preserve"> - stabilizacja, w której dąży się do zachowania istniejących pozycji i stosunków </w:t>
      </w:r>
      <w:proofErr w:type="spellStart"/>
      <w:r w:rsidRPr="00F04E84">
        <w:t>społeczno–gospodarczych</w:t>
      </w:r>
      <w:proofErr w:type="spellEnd"/>
      <w:r w:rsidRPr="00F04E84">
        <w:t xml:space="preserve">. Nie przewiduje się przy tym znaczącego rozwoju przemysłu </w:t>
      </w:r>
      <w:r w:rsidRPr="00F04E84">
        <w:br/>
        <w:t>i usług. W wariancie tym przyjęto wzrost zapotrzebowania na energię elektryczną na poziomie 0,5% rocznie. Sumaryczne zapotrzebowanie na energię elektryczną w latach 2</w:t>
      </w:r>
      <w:r w:rsidR="00A452EE">
        <w:t>014– 2025</w:t>
      </w:r>
      <w:r w:rsidRPr="00F04E84">
        <w:t xml:space="preserve"> przedstawia tabela </w:t>
      </w:r>
      <w:r w:rsidR="007863F0">
        <w:t>5</w:t>
      </w:r>
      <w:r w:rsidRPr="00F04E84">
        <w:t>.</w:t>
      </w:r>
    </w:p>
    <w:p w:rsidR="00DB0160" w:rsidRPr="00DB0160" w:rsidRDefault="00DB0160" w:rsidP="004E3043">
      <w:pPr>
        <w:pStyle w:val="Legenda"/>
        <w:keepNext/>
        <w:rPr>
          <w:color w:val="auto"/>
        </w:rPr>
      </w:pPr>
      <w:bookmarkStart w:id="283" w:name="_Toc427675351"/>
      <w:r w:rsidRPr="00DB0160">
        <w:rPr>
          <w:color w:val="auto"/>
        </w:rPr>
        <w:t xml:space="preserve">Tabela </w:t>
      </w:r>
      <w:r w:rsidR="00A93FFF" w:rsidRPr="00DB0160">
        <w:rPr>
          <w:color w:val="auto"/>
        </w:rPr>
        <w:fldChar w:fldCharType="begin"/>
      </w:r>
      <w:r w:rsidRPr="00DB0160">
        <w:rPr>
          <w:color w:val="auto"/>
        </w:rPr>
        <w:instrText xml:space="preserve"> SEQ Tabela \* ARABIC </w:instrText>
      </w:r>
      <w:r w:rsidR="00A93FFF" w:rsidRPr="00DB0160">
        <w:rPr>
          <w:color w:val="auto"/>
        </w:rPr>
        <w:fldChar w:fldCharType="separate"/>
      </w:r>
      <w:r w:rsidR="00871648">
        <w:rPr>
          <w:noProof/>
          <w:color w:val="auto"/>
        </w:rPr>
        <w:t>5</w:t>
      </w:r>
      <w:r w:rsidR="00A93FFF" w:rsidRPr="00DB0160">
        <w:rPr>
          <w:color w:val="auto"/>
        </w:rPr>
        <w:fldChar w:fldCharType="end"/>
      </w:r>
      <w:r w:rsidRPr="00DB0160">
        <w:rPr>
          <w:color w:val="auto"/>
        </w:rPr>
        <w:t xml:space="preserve">.Prognoza zapotrzebowania na energię </w:t>
      </w:r>
      <w:r>
        <w:rPr>
          <w:color w:val="auto"/>
        </w:rPr>
        <w:t>elektryczną na terenie gminy Strawczyn</w:t>
      </w:r>
      <w:r w:rsidRPr="00DB0160">
        <w:rPr>
          <w:color w:val="auto"/>
        </w:rPr>
        <w:t xml:space="preserve"> - średnioroczny wzrost o 0,5% (opracowanie własne)</w:t>
      </w:r>
      <w:bookmarkEnd w:id="283"/>
    </w:p>
    <w:p w:rsidR="00A452EE" w:rsidRDefault="00A452EE" w:rsidP="00DB0160">
      <w:pPr>
        <w:spacing w:after="0" w:line="360" w:lineRule="auto"/>
        <w:rPr>
          <w:b/>
        </w:rPr>
      </w:pPr>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1"/>
        <w:gridCol w:w="4791"/>
      </w:tblGrid>
      <w:tr w:rsidR="00A452EE" w:rsidRPr="00BF395C" w:rsidTr="004E3043">
        <w:trPr>
          <w:cnfStyle w:val="100000000000"/>
          <w:trHeight w:val="300"/>
          <w:jc w:val="center"/>
        </w:trPr>
        <w:tc>
          <w:tcPr>
            <w:cnfStyle w:val="001000000000"/>
            <w:tcW w:w="0" w:type="auto"/>
            <w:noWrap/>
          </w:tcPr>
          <w:p w:rsidR="00A452EE" w:rsidRPr="00BF395C" w:rsidRDefault="00A452EE" w:rsidP="007A3AD0">
            <w:pPr>
              <w:jc w:val="center"/>
              <w:rPr>
                <w:lang w:eastAsia="pl-PL"/>
              </w:rPr>
            </w:pPr>
            <w:r w:rsidRPr="00BF395C">
              <w:rPr>
                <w:lang w:eastAsia="pl-PL"/>
              </w:rPr>
              <w:t>Rok</w:t>
            </w:r>
          </w:p>
        </w:tc>
        <w:tc>
          <w:tcPr>
            <w:tcW w:w="0" w:type="auto"/>
            <w:noWrap/>
          </w:tcPr>
          <w:p w:rsidR="00A452EE" w:rsidRPr="00A452EE" w:rsidRDefault="00A452EE" w:rsidP="007A3AD0">
            <w:pPr>
              <w:jc w:val="center"/>
              <w:cnfStyle w:val="100000000000"/>
              <w:rPr>
                <w:lang w:eastAsia="pl-PL"/>
              </w:rPr>
            </w:pPr>
            <w:r w:rsidRPr="00A452EE">
              <w:rPr>
                <w:lang w:eastAsia="pl-PL"/>
              </w:rPr>
              <w:t>Zapotrzebowanie na energię elektryczną</w:t>
            </w:r>
          </w:p>
        </w:tc>
      </w:tr>
      <w:tr w:rsidR="00A452EE" w:rsidRPr="00BF395C" w:rsidTr="004E3043">
        <w:trPr>
          <w:cnfStyle w:val="000000100000"/>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2014</w:t>
            </w:r>
          </w:p>
        </w:tc>
        <w:tc>
          <w:tcPr>
            <w:tcW w:w="0" w:type="auto"/>
            <w:noWrap/>
            <w:hideMark/>
          </w:tcPr>
          <w:p w:rsidR="00A452EE" w:rsidRPr="00A452EE" w:rsidRDefault="00A452EE" w:rsidP="00A452EE">
            <w:pPr>
              <w:jc w:val="center"/>
              <w:cnfStyle w:val="000000100000"/>
              <w:rPr>
                <w:color w:val="000000"/>
              </w:rPr>
            </w:pPr>
            <w:r w:rsidRPr="00A452EE">
              <w:rPr>
                <w:color w:val="000000"/>
              </w:rPr>
              <w:t>144535,93</w:t>
            </w:r>
          </w:p>
        </w:tc>
      </w:tr>
      <w:tr w:rsidR="00A452EE" w:rsidRPr="00BF395C" w:rsidTr="004E3043">
        <w:trPr>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2015</w:t>
            </w:r>
          </w:p>
        </w:tc>
        <w:tc>
          <w:tcPr>
            <w:tcW w:w="0" w:type="auto"/>
            <w:noWrap/>
            <w:hideMark/>
          </w:tcPr>
          <w:p w:rsidR="00A452EE" w:rsidRPr="00A452EE" w:rsidRDefault="00A452EE" w:rsidP="00A452EE">
            <w:pPr>
              <w:jc w:val="center"/>
              <w:cnfStyle w:val="000000000000"/>
              <w:rPr>
                <w:color w:val="000000"/>
              </w:rPr>
            </w:pPr>
            <w:r w:rsidRPr="00A452EE">
              <w:rPr>
                <w:color w:val="000000"/>
              </w:rPr>
              <w:t>145258,61</w:t>
            </w:r>
          </w:p>
        </w:tc>
      </w:tr>
      <w:tr w:rsidR="00A452EE" w:rsidRPr="00BF395C" w:rsidTr="004E3043">
        <w:trPr>
          <w:cnfStyle w:val="000000100000"/>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2016</w:t>
            </w:r>
          </w:p>
        </w:tc>
        <w:tc>
          <w:tcPr>
            <w:tcW w:w="0" w:type="auto"/>
            <w:noWrap/>
            <w:hideMark/>
          </w:tcPr>
          <w:p w:rsidR="00A452EE" w:rsidRPr="00A452EE" w:rsidRDefault="00A452EE" w:rsidP="00A452EE">
            <w:pPr>
              <w:jc w:val="center"/>
              <w:cnfStyle w:val="000000100000"/>
              <w:rPr>
                <w:color w:val="000000"/>
              </w:rPr>
            </w:pPr>
            <w:r w:rsidRPr="00A452EE">
              <w:rPr>
                <w:color w:val="000000"/>
              </w:rPr>
              <w:t>145984,90</w:t>
            </w:r>
          </w:p>
        </w:tc>
      </w:tr>
      <w:tr w:rsidR="00A452EE" w:rsidRPr="00BF395C" w:rsidTr="004E3043">
        <w:trPr>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2017</w:t>
            </w:r>
          </w:p>
        </w:tc>
        <w:tc>
          <w:tcPr>
            <w:tcW w:w="0" w:type="auto"/>
            <w:noWrap/>
            <w:hideMark/>
          </w:tcPr>
          <w:p w:rsidR="00A452EE" w:rsidRPr="00A452EE" w:rsidRDefault="00A452EE" w:rsidP="00A452EE">
            <w:pPr>
              <w:jc w:val="center"/>
              <w:cnfStyle w:val="000000000000"/>
              <w:rPr>
                <w:color w:val="000000"/>
              </w:rPr>
            </w:pPr>
            <w:r w:rsidRPr="00A452EE">
              <w:rPr>
                <w:color w:val="000000"/>
              </w:rPr>
              <w:t>146714,83</w:t>
            </w:r>
          </w:p>
        </w:tc>
      </w:tr>
      <w:tr w:rsidR="00A452EE" w:rsidRPr="00BF395C" w:rsidTr="004E3043">
        <w:trPr>
          <w:cnfStyle w:val="000000100000"/>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lastRenderedPageBreak/>
              <w:t>2018</w:t>
            </w:r>
          </w:p>
        </w:tc>
        <w:tc>
          <w:tcPr>
            <w:tcW w:w="0" w:type="auto"/>
            <w:noWrap/>
            <w:hideMark/>
          </w:tcPr>
          <w:p w:rsidR="00A452EE" w:rsidRPr="00A452EE" w:rsidRDefault="00A452EE" w:rsidP="00A452EE">
            <w:pPr>
              <w:jc w:val="center"/>
              <w:cnfStyle w:val="000000100000"/>
              <w:rPr>
                <w:color w:val="000000"/>
              </w:rPr>
            </w:pPr>
            <w:r w:rsidRPr="00A452EE">
              <w:rPr>
                <w:color w:val="000000"/>
              </w:rPr>
              <w:t>147448,40</w:t>
            </w:r>
          </w:p>
        </w:tc>
      </w:tr>
      <w:tr w:rsidR="00A452EE" w:rsidRPr="00BF395C" w:rsidTr="004E3043">
        <w:trPr>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2019</w:t>
            </w:r>
          </w:p>
        </w:tc>
        <w:tc>
          <w:tcPr>
            <w:tcW w:w="0" w:type="auto"/>
            <w:noWrap/>
            <w:hideMark/>
          </w:tcPr>
          <w:p w:rsidR="00A452EE" w:rsidRPr="00A452EE" w:rsidRDefault="00A452EE" w:rsidP="00A452EE">
            <w:pPr>
              <w:jc w:val="center"/>
              <w:cnfStyle w:val="000000000000"/>
              <w:rPr>
                <w:color w:val="000000"/>
              </w:rPr>
            </w:pPr>
            <w:r w:rsidRPr="00A452EE">
              <w:rPr>
                <w:color w:val="000000"/>
              </w:rPr>
              <w:t>148185,64</w:t>
            </w:r>
          </w:p>
        </w:tc>
      </w:tr>
      <w:tr w:rsidR="00A452EE" w:rsidRPr="00BF395C" w:rsidTr="004E3043">
        <w:trPr>
          <w:cnfStyle w:val="000000100000"/>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2020</w:t>
            </w:r>
          </w:p>
        </w:tc>
        <w:tc>
          <w:tcPr>
            <w:tcW w:w="0" w:type="auto"/>
            <w:noWrap/>
            <w:hideMark/>
          </w:tcPr>
          <w:p w:rsidR="00A452EE" w:rsidRPr="00A452EE" w:rsidRDefault="00A452EE" w:rsidP="00A452EE">
            <w:pPr>
              <w:jc w:val="center"/>
              <w:cnfStyle w:val="000000100000"/>
              <w:rPr>
                <w:color w:val="000000"/>
              </w:rPr>
            </w:pPr>
            <w:r w:rsidRPr="00A452EE">
              <w:rPr>
                <w:color w:val="000000"/>
              </w:rPr>
              <w:t>148926,57</w:t>
            </w:r>
          </w:p>
        </w:tc>
      </w:tr>
      <w:tr w:rsidR="00A452EE" w:rsidRPr="00BF395C" w:rsidTr="004E3043">
        <w:trPr>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2021</w:t>
            </w:r>
          </w:p>
        </w:tc>
        <w:tc>
          <w:tcPr>
            <w:tcW w:w="0" w:type="auto"/>
            <w:noWrap/>
            <w:hideMark/>
          </w:tcPr>
          <w:p w:rsidR="00A452EE" w:rsidRPr="00A452EE" w:rsidRDefault="00A452EE" w:rsidP="00A452EE">
            <w:pPr>
              <w:jc w:val="center"/>
              <w:cnfStyle w:val="000000000000"/>
              <w:rPr>
                <w:color w:val="000000"/>
              </w:rPr>
            </w:pPr>
            <w:r w:rsidRPr="00A452EE">
              <w:rPr>
                <w:color w:val="000000"/>
              </w:rPr>
              <w:t>149671,20</w:t>
            </w:r>
          </w:p>
        </w:tc>
      </w:tr>
      <w:tr w:rsidR="00A452EE" w:rsidRPr="00BF395C" w:rsidTr="004E3043">
        <w:trPr>
          <w:cnfStyle w:val="000000100000"/>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2022</w:t>
            </w:r>
          </w:p>
        </w:tc>
        <w:tc>
          <w:tcPr>
            <w:tcW w:w="0" w:type="auto"/>
            <w:noWrap/>
            <w:hideMark/>
          </w:tcPr>
          <w:p w:rsidR="00A452EE" w:rsidRPr="00A452EE" w:rsidRDefault="00A452EE" w:rsidP="00A452EE">
            <w:pPr>
              <w:jc w:val="center"/>
              <w:cnfStyle w:val="000000100000"/>
              <w:rPr>
                <w:color w:val="000000"/>
              </w:rPr>
            </w:pPr>
            <w:r w:rsidRPr="00A452EE">
              <w:rPr>
                <w:color w:val="000000"/>
              </w:rPr>
              <w:t>150419,56</w:t>
            </w:r>
          </w:p>
        </w:tc>
      </w:tr>
      <w:tr w:rsidR="00A452EE" w:rsidRPr="00BF395C" w:rsidTr="004E3043">
        <w:trPr>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2023</w:t>
            </w:r>
          </w:p>
        </w:tc>
        <w:tc>
          <w:tcPr>
            <w:tcW w:w="0" w:type="auto"/>
            <w:noWrap/>
            <w:hideMark/>
          </w:tcPr>
          <w:p w:rsidR="00A452EE" w:rsidRPr="00A452EE" w:rsidRDefault="00A452EE" w:rsidP="00A452EE">
            <w:pPr>
              <w:jc w:val="center"/>
              <w:cnfStyle w:val="000000000000"/>
              <w:rPr>
                <w:color w:val="000000"/>
              </w:rPr>
            </w:pPr>
            <w:r w:rsidRPr="00A452EE">
              <w:rPr>
                <w:color w:val="000000"/>
              </w:rPr>
              <w:t>151171,66</w:t>
            </w:r>
          </w:p>
        </w:tc>
      </w:tr>
      <w:tr w:rsidR="00A452EE" w:rsidRPr="00BF395C" w:rsidTr="004E3043">
        <w:trPr>
          <w:cnfStyle w:val="000000100000"/>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2024</w:t>
            </w:r>
          </w:p>
        </w:tc>
        <w:tc>
          <w:tcPr>
            <w:tcW w:w="0" w:type="auto"/>
            <w:noWrap/>
            <w:hideMark/>
          </w:tcPr>
          <w:p w:rsidR="00A452EE" w:rsidRPr="00A452EE" w:rsidRDefault="00A452EE" w:rsidP="00A452EE">
            <w:pPr>
              <w:jc w:val="center"/>
              <w:cnfStyle w:val="000000100000"/>
              <w:rPr>
                <w:color w:val="000000"/>
              </w:rPr>
            </w:pPr>
            <w:r w:rsidRPr="00A452EE">
              <w:rPr>
                <w:color w:val="000000"/>
              </w:rPr>
              <w:t>151927,52</w:t>
            </w:r>
          </w:p>
        </w:tc>
      </w:tr>
      <w:tr w:rsidR="00A452EE" w:rsidRPr="00BF395C" w:rsidTr="004E3043">
        <w:trPr>
          <w:trHeight w:val="300"/>
          <w:jc w:val="center"/>
        </w:trPr>
        <w:tc>
          <w:tcPr>
            <w:cnfStyle w:val="001000000000"/>
            <w:tcW w:w="0" w:type="auto"/>
            <w:noWrap/>
            <w:hideMark/>
          </w:tcPr>
          <w:p w:rsidR="00A452EE" w:rsidRPr="00BF395C" w:rsidRDefault="00A452EE" w:rsidP="007A3AD0">
            <w:pPr>
              <w:jc w:val="center"/>
              <w:rPr>
                <w:lang w:eastAsia="pl-PL"/>
              </w:rPr>
            </w:pPr>
            <w:r w:rsidRPr="00BF395C">
              <w:rPr>
                <w:lang w:eastAsia="pl-PL"/>
              </w:rPr>
              <w:t>2025</w:t>
            </w:r>
          </w:p>
        </w:tc>
        <w:tc>
          <w:tcPr>
            <w:tcW w:w="0" w:type="auto"/>
            <w:noWrap/>
            <w:hideMark/>
          </w:tcPr>
          <w:p w:rsidR="00A452EE" w:rsidRPr="00A452EE" w:rsidRDefault="00A452EE" w:rsidP="00A452EE">
            <w:pPr>
              <w:jc w:val="center"/>
              <w:cnfStyle w:val="000000000000"/>
              <w:rPr>
                <w:color w:val="000000"/>
              </w:rPr>
            </w:pPr>
            <w:r w:rsidRPr="00A452EE">
              <w:rPr>
                <w:color w:val="000000"/>
              </w:rPr>
              <w:t>152687,15</w:t>
            </w:r>
          </w:p>
        </w:tc>
      </w:tr>
    </w:tbl>
    <w:p w:rsidR="00A452EE" w:rsidRDefault="00A452EE" w:rsidP="00DB0160">
      <w:pPr>
        <w:spacing w:after="0" w:line="360" w:lineRule="auto"/>
        <w:rPr>
          <w:b/>
        </w:rPr>
      </w:pPr>
    </w:p>
    <w:p w:rsidR="00DB0160" w:rsidRDefault="00DB0160" w:rsidP="00DB0160">
      <w:pPr>
        <w:spacing w:after="0" w:line="360" w:lineRule="auto"/>
      </w:pPr>
      <w:r w:rsidRPr="00F04E84">
        <w:rPr>
          <w:b/>
        </w:rPr>
        <w:t xml:space="preserve">WARIANT II </w:t>
      </w:r>
      <w:r w:rsidRPr="00F04E84">
        <w:rPr>
          <w:szCs w:val="24"/>
        </w:rPr>
        <w:t xml:space="preserve">harmonijny rozwój </w:t>
      </w:r>
      <w:proofErr w:type="spellStart"/>
      <w:r w:rsidRPr="00F04E84">
        <w:rPr>
          <w:szCs w:val="24"/>
        </w:rPr>
        <w:t>społeczno–gospodarczy</w:t>
      </w:r>
      <w:proofErr w:type="spellEnd"/>
      <w:r w:rsidRPr="00F04E84">
        <w:rPr>
          <w:szCs w:val="24"/>
        </w:rPr>
        <w:t xml:space="preserve"> bazuj</w:t>
      </w:r>
      <w:r w:rsidRPr="00F04E84">
        <w:rPr>
          <w:rFonts w:eastAsia="TimesNewRoman" w:cs="TimesNewRoman"/>
          <w:szCs w:val="24"/>
        </w:rPr>
        <w:t>ą</w:t>
      </w:r>
      <w:r w:rsidRPr="00F04E84">
        <w:rPr>
          <w:szCs w:val="24"/>
        </w:rPr>
        <w:t>cy na lokalnych inicjatywach z niewielkim wsparciem zewn</w:t>
      </w:r>
      <w:r w:rsidRPr="00F04E84">
        <w:rPr>
          <w:rFonts w:eastAsia="TimesNewRoman" w:cs="TimesNewRoman"/>
          <w:szCs w:val="24"/>
        </w:rPr>
        <w:t>ę</w:t>
      </w:r>
      <w:r w:rsidRPr="00F04E84">
        <w:rPr>
          <w:szCs w:val="24"/>
        </w:rPr>
        <w:t>trznym. Główn</w:t>
      </w:r>
      <w:r w:rsidRPr="00F04E84">
        <w:rPr>
          <w:rFonts w:eastAsia="TimesNewRoman" w:cs="TimesNewRoman"/>
          <w:szCs w:val="24"/>
        </w:rPr>
        <w:t xml:space="preserve">ą </w:t>
      </w:r>
      <w:r w:rsidRPr="00F04E84">
        <w:rPr>
          <w:szCs w:val="24"/>
        </w:rPr>
        <w:t>zasad</w:t>
      </w:r>
      <w:r w:rsidRPr="00F04E84">
        <w:rPr>
          <w:rFonts w:eastAsia="TimesNewRoman" w:cs="TimesNewRoman"/>
          <w:szCs w:val="24"/>
        </w:rPr>
        <w:t xml:space="preserve">ą </w:t>
      </w:r>
      <w:r w:rsidRPr="00F04E84">
        <w:rPr>
          <w:szCs w:val="24"/>
        </w:rPr>
        <w:t>kształtowania kierunków rozwoju w tym wariancie jest racjonalne wykorzystanie warunków miejscowych podporz</w:t>
      </w:r>
      <w:r w:rsidRPr="00F04E84">
        <w:rPr>
          <w:rFonts w:eastAsia="TimesNewRoman" w:cs="TimesNewRoman"/>
          <w:szCs w:val="24"/>
        </w:rPr>
        <w:t>ą</w:t>
      </w:r>
      <w:r w:rsidRPr="00F04E84">
        <w:rPr>
          <w:szCs w:val="24"/>
        </w:rPr>
        <w:t>dkowanych wymogom czysto</w:t>
      </w:r>
      <w:r w:rsidRPr="00F04E84">
        <w:rPr>
          <w:rFonts w:eastAsia="TimesNewRoman" w:cs="TimesNewRoman"/>
          <w:szCs w:val="24"/>
        </w:rPr>
        <w:t>ś</w:t>
      </w:r>
      <w:r w:rsidRPr="00F04E84">
        <w:rPr>
          <w:szCs w:val="24"/>
        </w:rPr>
        <w:t>ci ekologicznej. W tym wariancie zakłada si</w:t>
      </w:r>
      <w:r w:rsidRPr="00F04E84">
        <w:rPr>
          <w:rFonts w:eastAsia="TimesNewRoman" w:cs="TimesNewRoman"/>
          <w:szCs w:val="24"/>
        </w:rPr>
        <w:t>ę</w:t>
      </w:r>
      <w:r w:rsidRPr="00F04E84">
        <w:rPr>
          <w:szCs w:val="24"/>
        </w:rPr>
        <w:t xml:space="preserve"> umiarkowany rozwój gospodarczy, zatem </w:t>
      </w:r>
      <w:r w:rsidRPr="00F04E84">
        <w:t xml:space="preserve">przyjęto wzrost zapotrzebowania na energię elektryczną na poziomie 1% rocznie. Sumaryczne zapotrzebowanie na energię elektryczną </w:t>
      </w:r>
      <w:r w:rsidRPr="00F04E84">
        <w:br/>
      </w:r>
      <w:r w:rsidR="00B12A4C">
        <w:t>w latach 2014 – 2025</w:t>
      </w:r>
      <w:r w:rsidRPr="00F04E84">
        <w:t xml:space="preserve"> przedstawia tabela </w:t>
      </w:r>
      <w:r w:rsidR="007863F0">
        <w:t>6</w:t>
      </w:r>
      <w:r w:rsidRPr="00F04E84">
        <w:t>.</w:t>
      </w:r>
    </w:p>
    <w:p w:rsidR="007863F0" w:rsidRPr="007863F0" w:rsidRDefault="007863F0" w:rsidP="004E3043">
      <w:pPr>
        <w:pStyle w:val="Legenda"/>
        <w:keepNext/>
        <w:rPr>
          <w:color w:val="auto"/>
        </w:rPr>
      </w:pPr>
      <w:bookmarkStart w:id="284" w:name="_Toc427675352"/>
      <w:r w:rsidRPr="007863F0">
        <w:rPr>
          <w:color w:val="auto"/>
        </w:rPr>
        <w:t xml:space="preserve">Tabela </w:t>
      </w:r>
      <w:r w:rsidR="00A93FFF" w:rsidRPr="007863F0">
        <w:rPr>
          <w:color w:val="auto"/>
        </w:rPr>
        <w:fldChar w:fldCharType="begin"/>
      </w:r>
      <w:r w:rsidRPr="007863F0">
        <w:rPr>
          <w:color w:val="auto"/>
        </w:rPr>
        <w:instrText xml:space="preserve"> SEQ Tabela \* ARABIC </w:instrText>
      </w:r>
      <w:r w:rsidR="00A93FFF" w:rsidRPr="007863F0">
        <w:rPr>
          <w:color w:val="auto"/>
        </w:rPr>
        <w:fldChar w:fldCharType="separate"/>
      </w:r>
      <w:r w:rsidR="00871648">
        <w:rPr>
          <w:noProof/>
          <w:color w:val="auto"/>
        </w:rPr>
        <w:t>6</w:t>
      </w:r>
      <w:r w:rsidR="00A93FFF" w:rsidRPr="007863F0">
        <w:rPr>
          <w:color w:val="auto"/>
        </w:rPr>
        <w:fldChar w:fldCharType="end"/>
      </w:r>
      <w:r w:rsidRPr="007863F0">
        <w:rPr>
          <w:color w:val="auto"/>
        </w:rPr>
        <w:t>. Prognoza zapotrzebowania na energię elektryczną na teren</w:t>
      </w:r>
      <w:r w:rsidR="004E3043">
        <w:rPr>
          <w:color w:val="auto"/>
        </w:rPr>
        <w:t>ie gminy Strawczyn</w:t>
      </w:r>
      <w:r w:rsidRPr="007863F0">
        <w:rPr>
          <w:color w:val="auto"/>
        </w:rPr>
        <w:t xml:space="preserve"> - średnioroczny wzrost o  1 % (opracowanie własne)</w:t>
      </w:r>
      <w:bookmarkEnd w:id="284"/>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1"/>
        <w:gridCol w:w="4791"/>
      </w:tblGrid>
      <w:tr w:rsidR="00A452EE" w:rsidRPr="00BF395C" w:rsidTr="004E3043">
        <w:trPr>
          <w:cnfStyle w:val="100000000000"/>
          <w:trHeight w:val="300"/>
          <w:jc w:val="center"/>
        </w:trPr>
        <w:tc>
          <w:tcPr>
            <w:cnfStyle w:val="001000000000"/>
            <w:tcW w:w="0" w:type="auto"/>
            <w:noWrap/>
          </w:tcPr>
          <w:p w:rsidR="00A452EE" w:rsidRPr="00BF395C" w:rsidRDefault="00A452EE" w:rsidP="007A3AD0">
            <w:pPr>
              <w:jc w:val="center"/>
              <w:rPr>
                <w:lang w:eastAsia="pl-PL"/>
              </w:rPr>
            </w:pPr>
            <w:r w:rsidRPr="00BF395C">
              <w:rPr>
                <w:lang w:eastAsia="pl-PL"/>
              </w:rPr>
              <w:t>Rok</w:t>
            </w:r>
          </w:p>
        </w:tc>
        <w:tc>
          <w:tcPr>
            <w:tcW w:w="0" w:type="auto"/>
            <w:noWrap/>
          </w:tcPr>
          <w:p w:rsidR="00A452EE" w:rsidRPr="00A452EE" w:rsidRDefault="00A452EE" w:rsidP="007A3AD0">
            <w:pPr>
              <w:jc w:val="center"/>
              <w:cnfStyle w:val="100000000000"/>
              <w:rPr>
                <w:lang w:eastAsia="pl-PL"/>
              </w:rPr>
            </w:pPr>
            <w:r w:rsidRPr="00A452EE">
              <w:rPr>
                <w:lang w:eastAsia="pl-PL"/>
              </w:rPr>
              <w:t>Zapotrzebowanie na energię elektryczną</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2014</w:t>
            </w:r>
          </w:p>
        </w:tc>
        <w:tc>
          <w:tcPr>
            <w:tcW w:w="0" w:type="auto"/>
            <w:noWrap/>
            <w:hideMark/>
          </w:tcPr>
          <w:p w:rsidR="00B12A4C" w:rsidRPr="00B12A4C" w:rsidRDefault="00B12A4C" w:rsidP="00B12A4C">
            <w:pPr>
              <w:jc w:val="center"/>
              <w:cnfStyle w:val="000000100000"/>
              <w:rPr>
                <w:color w:val="000000"/>
              </w:rPr>
            </w:pPr>
            <w:r w:rsidRPr="00B12A4C">
              <w:rPr>
                <w:color w:val="000000"/>
              </w:rPr>
              <w:t>144535,93</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2015</w:t>
            </w:r>
          </w:p>
        </w:tc>
        <w:tc>
          <w:tcPr>
            <w:tcW w:w="0" w:type="auto"/>
            <w:noWrap/>
            <w:hideMark/>
          </w:tcPr>
          <w:p w:rsidR="00B12A4C" w:rsidRPr="00B12A4C" w:rsidRDefault="00B12A4C" w:rsidP="00B12A4C">
            <w:pPr>
              <w:jc w:val="center"/>
              <w:cnfStyle w:val="000000000000"/>
              <w:rPr>
                <w:color w:val="000000"/>
              </w:rPr>
            </w:pPr>
            <w:r w:rsidRPr="00B12A4C">
              <w:rPr>
                <w:color w:val="000000"/>
              </w:rPr>
              <w:t>145981,29</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2016</w:t>
            </w:r>
          </w:p>
        </w:tc>
        <w:tc>
          <w:tcPr>
            <w:tcW w:w="0" w:type="auto"/>
            <w:noWrap/>
            <w:hideMark/>
          </w:tcPr>
          <w:p w:rsidR="00B12A4C" w:rsidRPr="00B12A4C" w:rsidRDefault="00B12A4C" w:rsidP="00B12A4C">
            <w:pPr>
              <w:jc w:val="center"/>
              <w:cnfStyle w:val="000000100000"/>
              <w:rPr>
                <w:color w:val="000000"/>
              </w:rPr>
            </w:pPr>
            <w:r w:rsidRPr="00B12A4C">
              <w:rPr>
                <w:color w:val="000000"/>
              </w:rPr>
              <w:t>147441,10</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2017</w:t>
            </w:r>
          </w:p>
        </w:tc>
        <w:tc>
          <w:tcPr>
            <w:tcW w:w="0" w:type="auto"/>
            <w:noWrap/>
            <w:hideMark/>
          </w:tcPr>
          <w:p w:rsidR="00B12A4C" w:rsidRPr="00B12A4C" w:rsidRDefault="00B12A4C" w:rsidP="00B12A4C">
            <w:pPr>
              <w:jc w:val="center"/>
              <w:cnfStyle w:val="000000000000"/>
              <w:rPr>
                <w:color w:val="000000"/>
              </w:rPr>
            </w:pPr>
            <w:r w:rsidRPr="00B12A4C">
              <w:rPr>
                <w:color w:val="000000"/>
              </w:rPr>
              <w:t>148915,51</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2018</w:t>
            </w:r>
          </w:p>
        </w:tc>
        <w:tc>
          <w:tcPr>
            <w:tcW w:w="0" w:type="auto"/>
            <w:noWrap/>
            <w:hideMark/>
          </w:tcPr>
          <w:p w:rsidR="00B12A4C" w:rsidRPr="00B12A4C" w:rsidRDefault="00B12A4C" w:rsidP="00B12A4C">
            <w:pPr>
              <w:jc w:val="center"/>
              <w:cnfStyle w:val="000000100000"/>
              <w:rPr>
                <w:color w:val="000000"/>
              </w:rPr>
            </w:pPr>
            <w:r w:rsidRPr="00B12A4C">
              <w:rPr>
                <w:color w:val="000000"/>
              </w:rPr>
              <w:t>150404,67</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2019</w:t>
            </w:r>
          </w:p>
        </w:tc>
        <w:tc>
          <w:tcPr>
            <w:tcW w:w="0" w:type="auto"/>
            <w:noWrap/>
            <w:hideMark/>
          </w:tcPr>
          <w:p w:rsidR="00B12A4C" w:rsidRPr="00B12A4C" w:rsidRDefault="00B12A4C" w:rsidP="00B12A4C">
            <w:pPr>
              <w:jc w:val="center"/>
              <w:cnfStyle w:val="000000000000"/>
              <w:rPr>
                <w:color w:val="000000"/>
              </w:rPr>
            </w:pPr>
            <w:r w:rsidRPr="00B12A4C">
              <w:rPr>
                <w:color w:val="000000"/>
              </w:rPr>
              <w:t>151908,72</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2020</w:t>
            </w:r>
          </w:p>
        </w:tc>
        <w:tc>
          <w:tcPr>
            <w:tcW w:w="0" w:type="auto"/>
            <w:noWrap/>
            <w:hideMark/>
          </w:tcPr>
          <w:p w:rsidR="00B12A4C" w:rsidRPr="00B12A4C" w:rsidRDefault="00B12A4C" w:rsidP="00B12A4C">
            <w:pPr>
              <w:jc w:val="center"/>
              <w:cnfStyle w:val="000000100000"/>
              <w:rPr>
                <w:color w:val="000000"/>
              </w:rPr>
            </w:pPr>
            <w:r w:rsidRPr="00B12A4C">
              <w:rPr>
                <w:color w:val="000000"/>
              </w:rPr>
              <w:t>153427,80</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2021</w:t>
            </w:r>
          </w:p>
        </w:tc>
        <w:tc>
          <w:tcPr>
            <w:tcW w:w="0" w:type="auto"/>
            <w:noWrap/>
            <w:hideMark/>
          </w:tcPr>
          <w:p w:rsidR="00B12A4C" w:rsidRPr="00B12A4C" w:rsidRDefault="00B12A4C" w:rsidP="00B12A4C">
            <w:pPr>
              <w:jc w:val="center"/>
              <w:cnfStyle w:val="000000000000"/>
              <w:rPr>
                <w:color w:val="000000"/>
              </w:rPr>
            </w:pPr>
            <w:r w:rsidRPr="00B12A4C">
              <w:rPr>
                <w:color w:val="000000"/>
              </w:rPr>
              <w:t>154962,08</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2022</w:t>
            </w:r>
          </w:p>
        </w:tc>
        <w:tc>
          <w:tcPr>
            <w:tcW w:w="0" w:type="auto"/>
            <w:noWrap/>
            <w:hideMark/>
          </w:tcPr>
          <w:p w:rsidR="00B12A4C" w:rsidRPr="00B12A4C" w:rsidRDefault="00B12A4C" w:rsidP="00B12A4C">
            <w:pPr>
              <w:jc w:val="center"/>
              <w:cnfStyle w:val="000000100000"/>
              <w:rPr>
                <w:color w:val="000000"/>
              </w:rPr>
            </w:pPr>
            <w:r w:rsidRPr="00B12A4C">
              <w:rPr>
                <w:color w:val="000000"/>
              </w:rPr>
              <w:t>156511,70</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2023</w:t>
            </w:r>
          </w:p>
        </w:tc>
        <w:tc>
          <w:tcPr>
            <w:tcW w:w="0" w:type="auto"/>
            <w:noWrap/>
            <w:hideMark/>
          </w:tcPr>
          <w:p w:rsidR="00B12A4C" w:rsidRPr="00B12A4C" w:rsidRDefault="00B12A4C" w:rsidP="00B12A4C">
            <w:pPr>
              <w:jc w:val="center"/>
              <w:cnfStyle w:val="000000000000"/>
              <w:rPr>
                <w:color w:val="000000"/>
              </w:rPr>
            </w:pPr>
            <w:r w:rsidRPr="00B12A4C">
              <w:rPr>
                <w:color w:val="000000"/>
              </w:rPr>
              <w:t>158076,82</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2024</w:t>
            </w:r>
          </w:p>
        </w:tc>
        <w:tc>
          <w:tcPr>
            <w:tcW w:w="0" w:type="auto"/>
            <w:noWrap/>
            <w:hideMark/>
          </w:tcPr>
          <w:p w:rsidR="00B12A4C" w:rsidRPr="00B12A4C" w:rsidRDefault="00B12A4C" w:rsidP="00B12A4C">
            <w:pPr>
              <w:jc w:val="center"/>
              <w:cnfStyle w:val="000000100000"/>
              <w:rPr>
                <w:color w:val="000000"/>
              </w:rPr>
            </w:pPr>
            <w:r w:rsidRPr="00B12A4C">
              <w:rPr>
                <w:color w:val="000000"/>
              </w:rPr>
              <w:t>159657,59</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2025</w:t>
            </w:r>
          </w:p>
        </w:tc>
        <w:tc>
          <w:tcPr>
            <w:tcW w:w="0" w:type="auto"/>
            <w:noWrap/>
            <w:hideMark/>
          </w:tcPr>
          <w:p w:rsidR="00B12A4C" w:rsidRPr="00B12A4C" w:rsidRDefault="00B12A4C" w:rsidP="00B12A4C">
            <w:pPr>
              <w:jc w:val="center"/>
              <w:cnfStyle w:val="000000000000"/>
              <w:rPr>
                <w:color w:val="000000"/>
              </w:rPr>
            </w:pPr>
            <w:r w:rsidRPr="00B12A4C">
              <w:rPr>
                <w:color w:val="000000"/>
              </w:rPr>
              <w:t>161254,16</w:t>
            </w:r>
          </w:p>
        </w:tc>
      </w:tr>
    </w:tbl>
    <w:p w:rsidR="00DB0160" w:rsidRDefault="00DB0160" w:rsidP="00DB0160">
      <w:pPr>
        <w:spacing w:after="0" w:line="360" w:lineRule="auto"/>
      </w:pPr>
    </w:p>
    <w:p w:rsidR="00DB0160" w:rsidRPr="00526EAC" w:rsidRDefault="00DB0160" w:rsidP="00DB0160">
      <w:pPr>
        <w:autoSpaceDE w:val="0"/>
        <w:autoSpaceDN w:val="0"/>
        <w:adjustRightInd w:val="0"/>
        <w:spacing w:after="0"/>
      </w:pPr>
      <w:r w:rsidRPr="00F04E84">
        <w:rPr>
          <w:b/>
        </w:rPr>
        <w:t xml:space="preserve">WARIANT III </w:t>
      </w:r>
      <w:r w:rsidRPr="00F04E84">
        <w:rPr>
          <w:szCs w:val="24"/>
        </w:rPr>
        <w:t xml:space="preserve">dynamiczny rozwój </w:t>
      </w:r>
      <w:proofErr w:type="spellStart"/>
      <w:r w:rsidRPr="00F04E84">
        <w:rPr>
          <w:szCs w:val="24"/>
        </w:rPr>
        <w:t>społeczno–gospodarczy</w:t>
      </w:r>
      <w:proofErr w:type="spellEnd"/>
      <w:r w:rsidRPr="00F04E84">
        <w:rPr>
          <w:szCs w:val="24"/>
        </w:rPr>
        <w:t>, ukierunkowany na wykorzystanie wszelkich pojawiaj</w:t>
      </w:r>
      <w:r w:rsidRPr="00F04E84">
        <w:rPr>
          <w:rFonts w:eastAsia="TimesNewRoman" w:cs="TimesNewRoman"/>
          <w:szCs w:val="24"/>
        </w:rPr>
        <w:t>ą</w:t>
      </w:r>
      <w:r w:rsidRPr="00F04E84">
        <w:rPr>
          <w:szCs w:val="24"/>
        </w:rPr>
        <w:t>cych si</w:t>
      </w:r>
      <w:r w:rsidRPr="00F04E84">
        <w:rPr>
          <w:rFonts w:eastAsia="TimesNewRoman" w:cs="TimesNewRoman"/>
          <w:szCs w:val="24"/>
        </w:rPr>
        <w:t xml:space="preserve">ę z </w:t>
      </w:r>
      <w:r w:rsidRPr="00F04E84">
        <w:rPr>
          <w:szCs w:val="24"/>
        </w:rPr>
        <w:t>zewn</w:t>
      </w:r>
      <w:r w:rsidRPr="00F04E84">
        <w:rPr>
          <w:rFonts w:eastAsia="TimesNewRoman" w:cs="TimesNewRoman"/>
          <w:szCs w:val="24"/>
        </w:rPr>
        <w:t>ą</w:t>
      </w:r>
      <w:r w:rsidRPr="00F04E84">
        <w:rPr>
          <w:szCs w:val="24"/>
        </w:rPr>
        <w:t>trz mo</w:t>
      </w:r>
      <w:r w:rsidRPr="00F04E84">
        <w:rPr>
          <w:rFonts w:eastAsia="TimesNewRoman" w:cs="TimesNewRoman"/>
          <w:szCs w:val="24"/>
        </w:rPr>
        <w:t>ż</w:t>
      </w:r>
      <w:r w:rsidRPr="00F04E84">
        <w:rPr>
          <w:szCs w:val="24"/>
        </w:rPr>
        <w:t>liwo</w:t>
      </w:r>
      <w:r w:rsidRPr="00F04E84">
        <w:rPr>
          <w:rFonts w:eastAsia="TimesNewRoman" w:cs="TimesNewRoman"/>
          <w:szCs w:val="24"/>
        </w:rPr>
        <w:t>ś</w:t>
      </w:r>
      <w:r w:rsidRPr="00F04E84">
        <w:rPr>
          <w:szCs w:val="24"/>
        </w:rPr>
        <w:t>ci rozwojowych, globalizacja gospodarcza, nowoczesne technologie, jak równie</w:t>
      </w:r>
      <w:r w:rsidRPr="00F04E84">
        <w:rPr>
          <w:rFonts w:eastAsia="TimesNewRoman" w:cs="TimesNewRoman"/>
          <w:szCs w:val="24"/>
        </w:rPr>
        <w:t xml:space="preserve">ż </w:t>
      </w:r>
      <w:r w:rsidRPr="00F04E84">
        <w:rPr>
          <w:szCs w:val="24"/>
        </w:rPr>
        <w:t xml:space="preserve">silne stymulowanie </w:t>
      </w:r>
      <w:r w:rsidRPr="00F04E84">
        <w:rPr>
          <w:szCs w:val="24"/>
        </w:rPr>
        <w:br/>
        <w:t xml:space="preserve">i wykorzystywanie sił sprawczych. W </w:t>
      </w:r>
      <w:r w:rsidRPr="00F04E84">
        <w:t xml:space="preserve">wariancie tym przyjęto wzrost zapotrzebowania na energię elektryczną na poziomie 2% rocznie. Sumaryczne zapotrzebowanie na energię </w:t>
      </w:r>
      <w:r w:rsidR="00B12A4C">
        <w:t>elektryczną w latach 2014</w:t>
      </w:r>
      <w:r w:rsidRPr="00526EAC">
        <w:t xml:space="preserve">-2025 przedstawia tabela </w:t>
      </w:r>
      <w:r w:rsidR="007863F0">
        <w:t>7</w:t>
      </w:r>
      <w:r w:rsidRPr="00526EAC">
        <w:t>.</w:t>
      </w:r>
    </w:p>
    <w:p w:rsidR="00DB0160" w:rsidRDefault="00DB0160" w:rsidP="00DB0160">
      <w:pPr>
        <w:spacing w:after="0"/>
      </w:pPr>
    </w:p>
    <w:p w:rsidR="0013718A" w:rsidRDefault="0013718A" w:rsidP="00DB0160">
      <w:pPr>
        <w:spacing w:after="0"/>
      </w:pPr>
    </w:p>
    <w:p w:rsidR="0013718A" w:rsidRDefault="0013718A" w:rsidP="00DB0160">
      <w:pPr>
        <w:spacing w:after="0"/>
      </w:pPr>
    </w:p>
    <w:p w:rsidR="0013718A" w:rsidRPr="00F04E84" w:rsidRDefault="0013718A" w:rsidP="00DB0160">
      <w:pPr>
        <w:spacing w:after="0"/>
      </w:pPr>
    </w:p>
    <w:p w:rsidR="007863F0" w:rsidRPr="007863F0" w:rsidRDefault="007863F0" w:rsidP="007863F0">
      <w:pPr>
        <w:pStyle w:val="Legenda"/>
        <w:keepNext/>
        <w:rPr>
          <w:color w:val="auto"/>
        </w:rPr>
      </w:pPr>
      <w:bookmarkStart w:id="285" w:name="_Toc427675353"/>
      <w:r w:rsidRPr="007863F0">
        <w:rPr>
          <w:color w:val="auto"/>
        </w:rPr>
        <w:lastRenderedPageBreak/>
        <w:t xml:space="preserve">Tabela </w:t>
      </w:r>
      <w:r w:rsidR="00A93FFF" w:rsidRPr="007863F0">
        <w:rPr>
          <w:color w:val="auto"/>
        </w:rPr>
        <w:fldChar w:fldCharType="begin"/>
      </w:r>
      <w:r w:rsidRPr="007863F0">
        <w:rPr>
          <w:color w:val="auto"/>
        </w:rPr>
        <w:instrText xml:space="preserve"> SEQ Tabela \* ARABIC </w:instrText>
      </w:r>
      <w:r w:rsidR="00A93FFF" w:rsidRPr="007863F0">
        <w:rPr>
          <w:color w:val="auto"/>
        </w:rPr>
        <w:fldChar w:fldCharType="separate"/>
      </w:r>
      <w:r w:rsidR="00871648">
        <w:rPr>
          <w:noProof/>
          <w:color w:val="auto"/>
        </w:rPr>
        <w:t>7</w:t>
      </w:r>
      <w:r w:rsidR="00A93FFF" w:rsidRPr="007863F0">
        <w:rPr>
          <w:color w:val="auto"/>
        </w:rPr>
        <w:fldChar w:fldCharType="end"/>
      </w:r>
      <w:r w:rsidRPr="007863F0">
        <w:rPr>
          <w:color w:val="auto"/>
        </w:rPr>
        <w:t>. Prognoza zapotrzebowania na energię elektryczn</w:t>
      </w:r>
      <w:r w:rsidR="004E3043">
        <w:rPr>
          <w:color w:val="auto"/>
        </w:rPr>
        <w:t>ą na terenie gminy Strawczyn</w:t>
      </w:r>
      <w:r w:rsidRPr="007863F0">
        <w:rPr>
          <w:color w:val="auto"/>
        </w:rPr>
        <w:t xml:space="preserve"> - średnioroczny wzrost o  2% (opracowanie własne)</w:t>
      </w:r>
      <w:bookmarkEnd w:id="285"/>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1"/>
        <w:gridCol w:w="4791"/>
      </w:tblGrid>
      <w:tr w:rsidR="00B12A4C" w:rsidRPr="00BF395C" w:rsidTr="004E3043">
        <w:trPr>
          <w:cnfStyle w:val="100000000000"/>
          <w:trHeight w:val="300"/>
          <w:jc w:val="center"/>
        </w:trPr>
        <w:tc>
          <w:tcPr>
            <w:cnfStyle w:val="001000000000"/>
            <w:tcW w:w="0" w:type="auto"/>
            <w:noWrap/>
          </w:tcPr>
          <w:p w:rsidR="00B12A4C" w:rsidRPr="00BF395C" w:rsidRDefault="00B12A4C" w:rsidP="007A3AD0">
            <w:pPr>
              <w:jc w:val="center"/>
              <w:rPr>
                <w:lang w:eastAsia="pl-PL"/>
              </w:rPr>
            </w:pPr>
            <w:r w:rsidRPr="00BF395C">
              <w:rPr>
                <w:lang w:eastAsia="pl-PL"/>
              </w:rPr>
              <w:t>Rok</w:t>
            </w:r>
          </w:p>
        </w:tc>
        <w:tc>
          <w:tcPr>
            <w:tcW w:w="0" w:type="auto"/>
            <w:noWrap/>
          </w:tcPr>
          <w:p w:rsidR="00B12A4C" w:rsidRPr="00A452EE" w:rsidRDefault="00B12A4C" w:rsidP="007A3AD0">
            <w:pPr>
              <w:jc w:val="center"/>
              <w:cnfStyle w:val="100000000000"/>
              <w:rPr>
                <w:lang w:eastAsia="pl-PL"/>
              </w:rPr>
            </w:pPr>
            <w:r w:rsidRPr="00A452EE">
              <w:rPr>
                <w:lang w:eastAsia="pl-PL"/>
              </w:rPr>
              <w:t>Zapotrzebowanie na energię elektryczną</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2014</w:t>
            </w:r>
          </w:p>
        </w:tc>
        <w:tc>
          <w:tcPr>
            <w:tcW w:w="0" w:type="auto"/>
            <w:noWrap/>
            <w:hideMark/>
          </w:tcPr>
          <w:p w:rsidR="00B12A4C" w:rsidRPr="00B12A4C" w:rsidRDefault="00B12A4C" w:rsidP="00B12A4C">
            <w:pPr>
              <w:jc w:val="center"/>
              <w:cnfStyle w:val="000000100000"/>
              <w:rPr>
                <w:color w:val="000000"/>
              </w:rPr>
            </w:pPr>
            <w:r w:rsidRPr="00B12A4C">
              <w:rPr>
                <w:color w:val="000000"/>
              </w:rPr>
              <w:t>144535,93</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2015</w:t>
            </w:r>
          </w:p>
        </w:tc>
        <w:tc>
          <w:tcPr>
            <w:tcW w:w="0" w:type="auto"/>
            <w:noWrap/>
            <w:hideMark/>
          </w:tcPr>
          <w:p w:rsidR="00B12A4C" w:rsidRPr="00B12A4C" w:rsidRDefault="00B12A4C" w:rsidP="00B12A4C">
            <w:pPr>
              <w:jc w:val="center"/>
              <w:cnfStyle w:val="000000000000"/>
              <w:rPr>
                <w:color w:val="000000"/>
              </w:rPr>
            </w:pPr>
            <w:r w:rsidRPr="00B12A4C">
              <w:rPr>
                <w:color w:val="000000"/>
              </w:rPr>
              <w:t>147426,65</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2016</w:t>
            </w:r>
          </w:p>
        </w:tc>
        <w:tc>
          <w:tcPr>
            <w:tcW w:w="0" w:type="auto"/>
            <w:noWrap/>
            <w:hideMark/>
          </w:tcPr>
          <w:p w:rsidR="00B12A4C" w:rsidRPr="00B12A4C" w:rsidRDefault="00B12A4C" w:rsidP="00B12A4C">
            <w:pPr>
              <w:jc w:val="center"/>
              <w:cnfStyle w:val="000000100000"/>
              <w:rPr>
                <w:color w:val="000000"/>
              </w:rPr>
            </w:pPr>
            <w:r w:rsidRPr="00B12A4C">
              <w:rPr>
                <w:color w:val="000000"/>
              </w:rPr>
              <w:t>150375,18</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2017</w:t>
            </w:r>
          </w:p>
        </w:tc>
        <w:tc>
          <w:tcPr>
            <w:tcW w:w="0" w:type="auto"/>
            <w:noWrap/>
            <w:hideMark/>
          </w:tcPr>
          <w:p w:rsidR="00B12A4C" w:rsidRPr="00B12A4C" w:rsidRDefault="00B12A4C" w:rsidP="00B12A4C">
            <w:pPr>
              <w:jc w:val="center"/>
              <w:cnfStyle w:val="000000000000"/>
              <w:rPr>
                <w:color w:val="000000"/>
              </w:rPr>
            </w:pPr>
            <w:r w:rsidRPr="00B12A4C">
              <w:rPr>
                <w:color w:val="000000"/>
              </w:rPr>
              <w:t>153382,69</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2018</w:t>
            </w:r>
          </w:p>
        </w:tc>
        <w:tc>
          <w:tcPr>
            <w:tcW w:w="0" w:type="auto"/>
            <w:noWrap/>
            <w:hideMark/>
          </w:tcPr>
          <w:p w:rsidR="00B12A4C" w:rsidRPr="00B12A4C" w:rsidRDefault="00B12A4C" w:rsidP="00B12A4C">
            <w:pPr>
              <w:jc w:val="center"/>
              <w:cnfStyle w:val="000000100000"/>
              <w:rPr>
                <w:color w:val="000000"/>
              </w:rPr>
            </w:pPr>
            <w:r w:rsidRPr="00B12A4C">
              <w:rPr>
                <w:color w:val="000000"/>
              </w:rPr>
              <w:t>156450,34</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2019</w:t>
            </w:r>
          </w:p>
        </w:tc>
        <w:tc>
          <w:tcPr>
            <w:tcW w:w="0" w:type="auto"/>
            <w:noWrap/>
            <w:hideMark/>
          </w:tcPr>
          <w:p w:rsidR="00B12A4C" w:rsidRPr="00B12A4C" w:rsidRDefault="00B12A4C" w:rsidP="00B12A4C">
            <w:pPr>
              <w:jc w:val="center"/>
              <w:cnfStyle w:val="000000000000"/>
              <w:rPr>
                <w:color w:val="000000"/>
              </w:rPr>
            </w:pPr>
            <w:r w:rsidRPr="00B12A4C">
              <w:rPr>
                <w:color w:val="000000"/>
              </w:rPr>
              <w:t>159579,35</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2020</w:t>
            </w:r>
          </w:p>
        </w:tc>
        <w:tc>
          <w:tcPr>
            <w:tcW w:w="0" w:type="auto"/>
            <w:noWrap/>
            <w:hideMark/>
          </w:tcPr>
          <w:p w:rsidR="00B12A4C" w:rsidRPr="00B12A4C" w:rsidRDefault="00B12A4C" w:rsidP="00B12A4C">
            <w:pPr>
              <w:jc w:val="center"/>
              <w:cnfStyle w:val="000000100000"/>
              <w:rPr>
                <w:color w:val="000000"/>
              </w:rPr>
            </w:pPr>
            <w:r w:rsidRPr="00B12A4C">
              <w:rPr>
                <w:color w:val="000000"/>
              </w:rPr>
              <w:t>162770,93</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2021</w:t>
            </w:r>
          </w:p>
        </w:tc>
        <w:tc>
          <w:tcPr>
            <w:tcW w:w="0" w:type="auto"/>
            <w:noWrap/>
            <w:hideMark/>
          </w:tcPr>
          <w:p w:rsidR="00B12A4C" w:rsidRPr="00B12A4C" w:rsidRDefault="00B12A4C" w:rsidP="00B12A4C">
            <w:pPr>
              <w:jc w:val="center"/>
              <w:cnfStyle w:val="000000000000"/>
              <w:rPr>
                <w:color w:val="000000"/>
              </w:rPr>
            </w:pPr>
            <w:r w:rsidRPr="00B12A4C">
              <w:rPr>
                <w:color w:val="000000"/>
              </w:rPr>
              <w:t>166026,35</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2022</w:t>
            </w:r>
          </w:p>
        </w:tc>
        <w:tc>
          <w:tcPr>
            <w:tcW w:w="0" w:type="auto"/>
            <w:noWrap/>
            <w:hideMark/>
          </w:tcPr>
          <w:p w:rsidR="00B12A4C" w:rsidRPr="00B12A4C" w:rsidRDefault="00B12A4C" w:rsidP="00B12A4C">
            <w:pPr>
              <w:jc w:val="center"/>
              <w:cnfStyle w:val="000000100000"/>
              <w:rPr>
                <w:color w:val="000000"/>
              </w:rPr>
            </w:pPr>
            <w:r w:rsidRPr="00B12A4C">
              <w:rPr>
                <w:color w:val="000000"/>
              </w:rPr>
              <w:t>169346,88</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2023</w:t>
            </w:r>
          </w:p>
        </w:tc>
        <w:tc>
          <w:tcPr>
            <w:tcW w:w="0" w:type="auto"/>
            <w:noWrap/>
            <w:hideMark/>
          </w:tcPr>
          <w:p w:rsidR="00B12A4C" w:rsidRPr="00B12A4C" w:rsidRDefault="00B12A4C" w:rsidP="00B12A4C">
            <w:pPr>
              <w:jc w:val="center"/>
              <w:cnfStyle w:val="000000000000"/>
              <w:rPr>
                <w:color w:val="000000"/>
              </w:rPr>
            </w:pPr>
            <w:r w:rsidRPr="00B12A4C">
              <w:rPr>
                <w:color w:val="000000"/>
              </w:rPr>
              <w:t>172733,82</w:t>
            </w:r>
          </w:p>
        </w:tc>
      </w:tr>
      <w:tr w:rsidR="00B12A4C" w:rsidRPr="00BF395C" w:rsidTr="004E3043">
        <w:trPr>
          <w:cnfStyle w:val="000000100000"/>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2024</w:t>
            </w:r>
          </w:p>
        </w:tc>
        <w:tc>
          <w:tcPr>
            <w:tcW w:w="0" w:type="auto"/>
            <w:noWrap/>
            <w:hideMark/>
          </w:tcPr>
          <w:p w:rsidR="00B12A4C" w:rsidRPr="00B12A4C" w:rsidRDefault="00B12A4C" w:rsidP="00B12A4C">
            <w:pPr>
              <w:jc w:val="center"/>
              <w:cnfStyle w:val="000000100000"/>
              <w:rPr>
                <w:color w:val="000000"/>
              </w:rPr>
            </w:pPr>
            <w:r w:rsidRPr="00B12A4C">
              <w:rPr>
                <w:color w:val="000000"/>
              </w:rPr>
              <w:t>176188,49</w:t>
            </w:r>
          </w:p>
        </w:tc>
      </w:tr>
      <w:tr w:rsidR="00B12A4C" w:rsidRPr="00BF395C" w:rsidTr="004E3043">
        <w:trPr>
          <w:trHeight w:val="300"/>
          <w:jc w:val="center"/>
        </w:trPr>
        <w:tc>
          <w:tcPr>
            <w:cnfStyle w:val="001000000000"/>
            <w:tcW w:w="0" w:type="auto"/>
            <w:noWrap/>
            <w:hideMark/>
          </w:tcPr>
          <w:p w:rsidR="00B12A4C" w:rsidRPr="00BF395C" w:rsidRDefault="00B12A4C" w:rsidP="007A3AD0">
            <w:pPr>
              <w:jc w:val="center"/>
              <w:rPr>
                <w:lang w:eastAsia="pl-PL"/>
              </w:rPr>
            </w:pPr>
            <w:r w:rsidRPr="00BF395C">
              <w:rPr>
                <w:lang w:eastAsia="pl-PL"/>
              </w:rPr>
              <w:t>2025</w:t>
            </w:r>
          </w:p>
        </w:tc>
        <w:tc>
          <w:tcPr>
            <w:tcW w:w="0" w:type="auto"/>
            <w:noWrap/>
            <w:hideMark/>
          </w:tcPr>
          <w:p w:rsidR="00B12A4C" w:rsidRPr="00B12A4C" w:rsidRDefault="00B12A4C" w:rsidP="00B12A4C">
            <w:pPr>
              <w:jc w:val="center"/>
              <w:cnfStyle w:val="000000000000"/>
              <w:rPr>
                <w:color w:val="000000"/>
              </w:rPr>
            </w:pPr>
            <w:r w:rsidRPr="00B12A4C">
              <w:rPr>
                <w:color w:val="000000"/>
              </w:rPr>
              <w:t>179712,26</w:t>
            </w:r>
          </w:p>
        </w:tc>
      </w:tr>
    </w:tbl>
    <w:p w:rsidR="00B12A4C" w:rsidRDefault="00B12A4C" w:rsidP="00F96687"/>
    <w:p w:rsidR="00DB0160" w:rsidRDefault="00DB0160" w:rsidP="00DB0160">
      <w:r w:rsidRPr="00F04E84">
        <w:t xml:space="preserve">Prognozowane zapotrzebowanie na </w:t>
      </w:r>
      <w:r w:rsidR="00B12A4C">
        <w:t>energię elektryczną do roku 2025</w:t>
      </w:r>
      <w:r w:rsidRPr="00F04E84">
        <w:t xml:space="preserve"> w trzech analizowanych wariantach zostało poniżej prze</w:t>
      </w:r>
      <w:r w:rsidR="00231D05">
        <w:t>dstawione graficznie (wykresie 17</w:t>
      </w:r>
      <w:r w:rsidRPr="00F04E84">
        <w:t>).</w:t>
      </w:r>
    </w:p>
    <w:p w:rsidR="007863F0" w:rsidRDefault="00B12A4C" w:rsidP="007863F0">
      <w:pPr>
        <w:keepNext/>
      </w:pPr>
      <w:r w:rsidRPr="00B12A4C">
        <w:rPr>
          <w:noProof/>
          <w:lang w:eastAsia="pl-PL"/>
        </w:rPr>
        <w:drawing>
          <wp:inline distT="0" distB="0" distL="0" distR="0">
            <wp:extent cx="5760720" cy="2662362"/>
            <wp:effectExtent l="19050" t="0" r="11430" b="4638"/>
            <wp:docPr id="29"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B12A4C" w:rsidRPr="004E3043" w:rsidRDefault="004E3043" w:rsidP="004E3043">
      <w:pPr>
        <w:pStyle w:val="Legenda"/>
        <w:jc w:val="right"/>
        <w:rPr>
          <w:color w:val="auto"/>
        </w:rPr>
      </w:pPr>
      <w:bookmarkStart w:id="286" w:name="_Toc427675437"/>
      <w:r>
        <w:rPr>
          <w:color w:val="auto"/>
        </w:rPr>
        <w:t>W</w:t>
      </w:r>
      <w:r w:rsidR="007863F0" w:rsidRPr="004E3043">
        <w:rPr>
          <w:color w:val="auto"/>
        </w:rPr>
        <w:t xml:space="preserve">ykres </w:t>
      </w:r>
      <w:r w:rsidR="00A93FFF" w:rsidRPr="004E3043">
        <w:rPr>
          <w:color w:val="auto"/>
        </w:rPr>
        <w:fldChar w:fldCharType="begin"/>
      </w:r>
      <w:r w:rsidR="00F70A25" w:rsidRPr="004E3043">
        <w:rPr>
          <w:color w:val="auto"/>
        </w:rPr>
        <w:instrText xml:space="preserve"> SEQ wykres \* ARABIC </w:instrText>
      </w:r>
      <w:r w:rsidR="00A93FFF" w:rsidRPr="004E3043">
        <w:rPr>
          <w:color w:val="auto"/>
        </w:rPr>
        <w:fldChar w:fldCharType="separate"/>
      </w:r>
      <w:r w:rsidR="00871648">
        <w:rPr>
          <w:noProof/>
          <w:color w:val="auto"/>
        </w:rPr>
        <w:t>16</w:t>
      </w:r>
      <w:r w:rsidR="00A93FFF" w:rsidRPr="004E3043">
        <w:rPr>
          <w:color w:val="auto"/>
        </w:rPr>
        <w:fldChar w:fldCharType="end"/>
      </w:r>
      <w:r w:rsidR="007863F0" w:rsidRPr="004E3043">
        <w:rPr>
          <w:color w:val="auto"/>
        </w:rPr>
        <w:t>. Prognozowane zapotrzebowanie na energię elektryczną na lata 2015-2025</w:t>
      </w:r>
      <w:bookmarkEnd w:id="286"/>
    </w:p>
    <w:p w:rsidR="00B12A4C" w:rsidRDefault="00B12A4C" w:rsidP="00DB0160"/>
    <w:p w:rsidR="00231D05" w:rsidRPr="007863F0" w:rsidRDefault="00231D05" w:rsidP="007863F0">
      <w:pPr>
        <w:pStyle w:val="Nagwek2"/>
      </w:pPr>
      <w:bookmarkStart w:id="287" w:name="_Toc426638182"/>
      <w:bookmarkStart w:id="288" w:name="_Toc427675579"/>
      <w:bookmarkStart w:id="289" w:name="_Toc427734979"/>
      <w:r w:rsidRPr="007863F0">
        <w:t>Przedsięwzięcia racjonalizujące wykorzystanie energii elektrycznej</w:t>
      </w:r>
      <w:bookmarkEnd w:id="287"/>
      <w:bookmarkEnd w:id="288"/>
      <w:bookmarkEnd w:id="289"/>
    </w:p>
    <w:p w:rsidR="00231D05" w:rsidRPr="00F04E84" w:rsidRDefault="00231D05" w:rsidP="00231D05">
      <w:pPr>
        <w:rPr>
          <w:lang w:eastAsia="pl-PL"/>
        </w:rPr>
      </w:pPr>
      <w:r w:rsidRPr="00F04E84">
        <w:rPr>
          <w:lang w:eastAsia="pl-PL"/>
        </w:rPr>
        <w:t>Oszczędność energii i jej efektywne wykorzystanie powinno stanowić znaczącą rolę dlatego, że zasoby paliw są ograniczone, ich dostępność coraz trudniejsza, a ceny paliw stają się coraz wyższe. Poniżej przedstawiono przedsięwzięcia, które należy podjąć, aby poprawić efektywność energetyczną gminy.</w:t>
      </w:r>
    </w:p>
    <w:p w:rsidR="00231D05" w:rsidRPr="00F04E84" w:rsidRDefault="00231D05" w:rsidP="00775439">
      <w:pPr>
        <w:pStyle w:val="Akapitzlist"/>
        <w:numPr>
          <w:ilvl w:val="0"/>
          <w:numId w:val="53"/>
        </w:numPr>
        <w:rPr>
          <w:rFonts w:ascii="Georgia" w:hAnsi="Georgia"/>
          <w:lang w:eastAsia="pl-PL"/>
        </w:rPr>
      </w:pPr>
      <w:r w:rsidRPr="00F04E84">
        <w:rPr>
          <w:rFonts w:ascii="Georgia" w:hAnsi="Georgia"/>
          <w:lang w:eastAsia="pl-PL"/>
        </w:rPr>
        <w:t xml:space="preserve">Stopniowe przechodzenie na stosowanie energooszczędnych źródeł światła </w:t>
      </w:r>
      <w:r w:rsidRPr="00F04E84">
        <w:rPr>
          <w:rFonts w:ascii="Georgia" w:hAnsi="Georgia"/>
          <w:lang w:eastAsia="pl-PL"/>
        </w:rPr>
        <w:br/>
        <w:t>w obiektach użyteczności publicznej oraz dążenie do wprowadzenia technologii LED do oświetlenia ulic, placów itp.</w:t>
      </w:r>
    </w:p>
    <w:p w:rsidR="00231D05" w:rsidRPr="00F04E84" w:rsidRDefault="00231D05" w:rsidP="00775439">
      <w:pPr>
        <w:pStyle w:val="Akapitzlist"/>
        <w:numPr>
          <w:ilvl w:val="0"/>
          <w:numId w:val="53"/>
        </w:numPr>
        <w:rPr>
          <w:rFonts w:ascii="Georgia" w:hAnsi="Georgia"/>
          <w:lang w:eastAsia="pl-PL"/>
        </w:rPr>
      </w:pPr>
      <w:r w:rsidRPr="00F04E84">
        <w:rPr>
          <w:rFonts w:ascii="Georgia" w:hAnsi="Georgia"/>
          <w:lang w:eastAsia="pl-PL"/>
        </w:rPr>
        <w:lastRenderedPageBreak/>
        <w:t>Przeprowadzanie regularnych prac konserwacyjno-naprawczych i czyszczenia oświetlenia.</w:t>
      </w:r>
    </w:p>
    <w:p w:rsidR="00231D05" w:rsidRPr="00F04E84" w:rsidRDefault="00231D05" w:rsidP="00775439">
      <w:pPr>
        <w:pStyle w:val="Akapitzlist"/>
        <w:numPr>
          <w:ilvl w:val="0"/>
          <w:numId w:val="53"/>
        </w:numPr>
        <w:rPr>
          <w:rFonts w:ascii="Georgia" w:hAnsi="Georgia"/>
          <w:lang w:eastAsia="pl-PL"/>
        </w:rPr>
      </w:pPr>
      <w:r w:rsidRPr="00F04E84">
        <w:rPr>
          <w:rFonts w:ascii="Georgia" w:hAnsi="Georgia"/>
          <w:lang w:eastAsia="pl-PL"/>
        </w:rPr>
        <w:t>Dbałość kadr technicznych zakładów przemysłowych, aby napędy elektryczne nie były przewymiarowane i pracowały z optymalną sprawnością oraz dużym współczynnikiem mocy czynnej.</w:t>
      </w:r>
    </w:p>
    <w:p w:rsidR="00231D05" w:rsidRPr="00F04E84" w:rsidRDefault="00231D05" w:rsidP="00775439">
      <w:pPr>
        <w:pStyle w:val="Akapitzlist"/>
        <w:numPr>
          <w:ilvl w:val="0"/>
          <w:numId w:val="53"/>
        </w:numPr>
        <w:rPr>
          <w:rFonts w:ascii="Georgia" w:hAnsi="Georgia"/>
          <w:lang w:eastAsia="pl-PL"/>
        </w:rPr>
      </w:pPr>
      <w:r w:rsidRPr="00F04E84">
        <w:rPr>
          <w:rFonts w:ascii="Georgia" w:hAnsi="Georgia"/>
          <w:lang w:eastAsia="pl-PL"/>
        </w:rPr>
        <w:t xml:space="preserve">Tam, gdzie to możliwe sterowanie obciążeniem polegające na przesuwaniu okresów pracy odbiorników energii elektrycznej na godziny poza szczytem energetycznym. </w:t>
      </w:r>
    </w:p>
    <w:p w:rsidR="00231D05" w:rsidRPr="00F04E84" w:rsidRDefault="00231D05" w:rsidP="00775439">
      <w:pPr>
        <w:pStyle w:val="Akapitzlist"/>
        <w:numPr>
          <w:ilvl w:val="0"/>
          <w:numId w:val="53"/>
        </w:numPr>
        <w:rPr>
          <w:rFonts w:ascii="Georgia" w:hAnsi="Georgia"/>
          <w:lang w:eastAsia="pl-PL"/>
        </w:rPr>
      </w:pPr>
      <w:r w:rsidRPr="00F04E84">
        <w:rPr>
          <w:rFonts w:ascii="Georgia" w:hAnsi="Georgia"/>
          <w:lang w:eastAsia="pl-PL"/>
        </w:rPr>
        <w:t>Stosowanie energooszczędnych technologii w procesach produkcyjnych.</w:t>
      </w:r>
    </w:p>
    <w:p w:rsidR="00231D05" w:rsidRPr="00F04E84" w:rsidRDefault="00231D05" w:rsidP="00231D05">
      <w:pPr>
        <w:rPr>
          <w:lang w:eastAsia="pl-PL"/>
        </w:rPr>
      </w:pPr>
      <w:r w:rsidRPr="00F04E84">
        <w:rPr>
          <w:lang w:eastAsia="pl-PL"/>
        </w:rPr>
        <w:t xml:space="preserve">Zwiększenie efektywności wykorzystania energii elektrycznej – ograniczanie zużycia energii elektrycznej może być realizowane na poziomie: </w:t>
      </w:r>
    </w:p>
    <w:p w:rsidR="00231D05" w:rsidRPr="00F04E84" w:rsidRDefault="00231D05" w:rsidP="00775439">
      <w:pPr>
        <w:pStyle w:val="Akapitzlist"/>
        <w:numPr>
          <w:ilvl w:val="0"/>
          <w:numId w:val="55"/>
        </w:numPr>
        <w:rPr>
          <w:rFonts w:ascii="Georgia" w:hAnsi="Georgia"/>
          <w:lang w:eastAsia="pl-PL"/>
        </w:rPr>
      </w:pPr>
      <w:r w:rsidRPr="00F04E84">
        <w:rPr>
          <w:rFonts w:ascii="Georgia" w:hAnsi="Georgia"/>
          <w:lang w:eastAsia="pl-PL"/>
        </w:rPr>
        <w:t xml:space="preserve">Zakładu Energetycznego – modernizacja stacji transformatorowych i linii przesyłowych. </w:t>
      </w:r>
    </w:p>
    <w:p w:rsidR="00231D05" w:rsidRPr="00F04E84" w:rsidRDefault="00231D05" w:rsidP="00775439">
      <w:pPr>
        <w:pStyle w:val="Akapitzlist"/>
        <w:numPr>
          <w:ilvl w:val="0"/>
          <w:numId w:val="55"/>
        </w:numPr>
        <w:rPr>
          <w:rFonts w:ascii="Georgia" w:hAnsi="Georgia"/>
          <w:lang w:eastAsia="pl-PL"/>
        </w:rPr>
      </w:pPr>
      <w:r w:rsidRPr="00F04E84">
        <w:rPr>
          <w:rFonts w:ascii="Georgia" w:hAnsi="Georgia"/>
          <w:lang w:eastAsia="pl-PL"/>
        </w:rPr>
        <w:t>Zarządcy dróg – energooszczędne oświetlenie uliczne.</w:t>
      </w:r>
    </w:p>
    <w:p w:rsidR="00231D05" w:rsidRPr="00F04E84" w:rsidRDefault="00231D05" w:rsidP="00775439">
      <w:pPr>
        <w:pStyle w:val="Akapitzlist"/>
        <w:numPr>
          <w:ilvl w:val="0"/>
          <w:numId w:val="55"/>
        </w:numPr>
        <w:rPr>
          <w:rFonts w:ascii="Georgia" w:hAnsi="Georgia"/>
          <w:lang w:eastAsia="pl-PL"/>
        </w:rPr>
      </w:pPr>
      <w:r w:rsidRPr="00F04E84">
        <w:rPr>
          <w:rFonts w:ascii="Georgia" w:hAnsi="Georgia"/>
          <w:lang w:eastAsia="pl-PL"/>
        </w:rPr>
        <w:t xml:space="preserve">Użytkownika indywidualnego – wprowadzanie energooszczędnego oświetlenia pomieszczeń, modernizacja bądź wymiana energochłonnych urządzeń gospodarstwa domowego, przesuwanie poboru energii na godziny poza szczytem energetycznym. </w:t>
      </w:r>
    </w:p>
    <w:p w:rsidR="00231D05" w:rsidRPr="00F04E84" w:rsidRDefault="00231D05" w:rsidP="00231D05">
      <w:pPr>
        <w:rPr>
          <w:lang w:eastAsia="pl-PL"/>
        </w:rPr>
      </w:pPr>
      <w:r w:rsidRPr="00F04E84">
        <w:rPr>
          <w:lang w:eastAsia="pl-PL"/>
        </w:rPr>
        <w:t>Potencjał ekonomiczny racjonalizacji zużycia energii elektrycznej w gospodarstwach domowych różni się znacznie w zależności od sposobu użytkowania energii elektrycznej. Jego wielkość szacuje się następująco:</w:t>
      </w:r>
    </w:p>
    <w:p w:rsidR="00231D05" w:rsidRPr="00F04E84" w:rsidRDefault="00231D05" w:rsidP="00775439">
      <w:pPr>
        <w:pStyle w:val="Akapitzlist"/>
        <w:numPr>
          <w:ilvl w:val="0"/>
          <w:numId w:val="54"/>
        </w:numPr>
        <w:rPr>
          <w:rFonts w:ascii="Georgia" w:hAnsi="Georgia"/>
          <w:lang w:eastAsia="pl-PL"/>
        </w:rPr>
      </w:pPr>
      <w:r w:rsidRPr="00F04E84">
        <w:rPr>
          <w:rFonts w:ascii="Georgia" w:hAnsi="Georgia"/>
          <w:lang w:eastAsia="pl-PL"/>
        </w:rPr>
        <w:t>od 10% do 25% w oświetleniu, napędach artykułów gospodarstwa domowego, pralkach, chłodziarkach i zamrażarkach, kuchniach elektrycznych;</w:t>
      </w:r>
    </w:p>
    <w:p w:rsidR="00231D05" w:rsidRPr="00F04E84" w:rsidRDefault="00231D05" w:rsidP="00775439">
      <w:pPr>
        <w:pStyle w:val="Akapitzlist"/>
        <w:numPr>
          <w:ilvl w:val="0"/>
          <w:numId w:val="54"/>
        </w:numPr>
        <w:rPr>
          <w:rFonts w:ascii="Georgia" w:hAnsi="Georgia"/>
          <w:lang w:eastAsia="pl-PL"/>
        </w:rPr>
      </w:pPr>
      <w:r w:rsidRPr="00F04E84">
        <w:rPr>
          <w:rFonts w:ascii="Georgia" w:hAnsi="Georgia"/>
          <w:lang w:eastAsia="pl-PL"/>
        </w:rPr>
        <w:t xml:space="preserve">od 25% do 40% dodatkowo dla zużycia energii elektrycznej do ogrzewania pomieszczeń. </w:t>
      </w:r>
    </w:p>
    <w:p w:rsidR="00231D05" w:rsidRPr="007863F0" w:rsidRDefault="00231D05" w:rsidP="007863F0">
      <w:pPr>
        <w:pStyle w:val="Nagwek2"/>
      </w:pPr>
      <w:bookmarkStart w:id="290" w:name="_Toc426638183"/>
      <w:bookmarkStart w:id="291" w:name="_Toc427675580"/>
      <w:bookmarkStart w:id="292" w:name="_Toc427734980"/>
      <w:r w:rsidRPr="007863F0">
        <w:t>Zamierzenia inwestycyjne</w:t>
      </w:r>
      <w:bookmarkEnd w:id="290"/>
      <w:bookmarkEnd w:id="291"/>
      <w:bookmarkEnd w:id="292"/>
    </w:p>
    <w:p w:rsidR="00231D05" w:rsidRDefault="00231D05" w:rsidP="00231D05">
      <w:r w:rsidRPr="00F04E84">
        <w:t>Inwestycje planowane do rea</w:t>
      </w:r>
      <w:r>
        <w:t>lizacji na terenie gminy Strawczyn</w:t>
      </w:r>
      <w:r w:rsidRPr="00F04E84">
        <w:t xml:space="preserve"> w zakresie rozbudowy oraz modernizacji systemu energetycznego 2014-2020 przedstawia poniższa tabela</w:t>
      </w:r>
      <w:r w:rsidR="00915723">
        <w:t xml:space="preserve"> nr 5 i 6</w:t>
      </w:r>
      <w:r w:rsidRPr="00F04E84">
        <w:t>:</w:t>
      </w:r>
    </w:p>
    <w:p w:rsidR="00231D05" w:rsidRPr="00231D05" w:rsidRDefault="00231D05" w:rsidP="004E3043">
      <w:pPr>
        <w:pStyle w:val="Legenda"/>
        <w:keepNext/>
        <w:rPr>
          <w:color w:val="auto"/>
        </w:rPr>
      </w:pPr>
      <w:bookmarkStart w:id="293" w:name="_Toc427675354"/>
      <w:r w:rsidRPr="00231D05">
        <w:rPr>
          <w:color w:val="auto"/>
        </w:rPr>
        <w:t xml:space="preserve">Tabela </w:t>
      </w:r>
      <w:r w:rsidR="00A93FFF" w:rsidRPr="00231D05">
        <w:rPr>
          <w:color w:val="auto"/>
        </w:rPr>
        <w:fldChar w:fldCharType="begin"/>
      </w:r>
      <w:r w:rsidRPr="00231D05">
        <w:rPr>
          <w:color w:val="auto"/>
        </w:rPr>
        <w:instrText xml:space="preserve"> SEQ Tabela \* ARABIC </w:instrText>
      </w:r>
      <w:r w:rsidR="00A93FFF" w:rsidRPr="00231D05">
        <w:rPr>
          <w:color w:val="auto"/>
        </w:rPr>
        <w:fldChar w:fldCharType="separate"/>
      </w:r>
      <w:r w:rsidR="00871648">
        <w:rPr>
          <w:noProof/>
          <w:color w:val="auto"/>
        </w:rPr>
        <w:t>8</w:t>
      </w:r>
      <w:r w:rsidR="00A93FFF" w:rsidRPr="00231D05">
        <w:rPr>
          <w:color w:val="auto"/>
        </w:rPr>
        <w:fldChar w:fldCharType="end"/>
      </w:r>
      <w:r w:rsidRPr="00231D05">
        <w:rPr>
          <w:color w:val="auto"/>
        </w:rPr>
        <w:t>. Inwestycje planowane do realizacji na terenie Gminy przez PGE Dystrybucja S.A. (dane udostępnione przez PGE Dystrybucja S.A.)</w:t>
      </w:r>
      <w:bookmarkEnd w:id="293"/>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4606"/>
      </w:tblGrid>
      <w:tr w:rsidR="00231D05" w:rsidRPr="00915723" w:rsidTr="004E3043">
        <w:trPr>
          <w:cnfStyle w:val="100000000000"/>
          <w:trHeight w:val="20"/>
          <w:jc w:val="center"/>
        </w:trPr>
        <w:tc>
          <w:tcPr>
            <w:cnfStyle w:val="001000000000"/>
            <w:tcW w:w="4606" w:type="dxa"/>
          </w:tcPr>
          <w:p w:rsidR="00231D05" w:rsidRPr="00915723" w:rsidRDefault="00231D05" w:rsidP="00231D05">
            <w:pPr>
              <w:jc w:val="center"/>
              <w:rPr>
                <w:lang w:eastAsia="pl-PL"/>
              </w:rPr>
            </w:pPr>
            <w:r w:rsidRPr="00915723">
              <w:rPr>
                <w:lang w:eastAsia="pl-PL"/>
              </w:rPr>
              <w:t>Nazwa/rodzaj projektu inwestycyjnego</w:t>
            </w:r>
          </w:p>
        </w:tc>
        <w:tc>
          <w:tcPr>
            <w:tcW w:w="4606" w:type="dxa"/>
          </w:tcPr>
          <w:p w:rsidR="00231D05" w:rsidRPr="00915723" w:rsidRDefault="00231D05" w:rsidP="00231D05">
            <w:pPr>
              <w:jc w:val="center"/>
              <w:cnfStyle w:val="100000000000"/>
              <w:rPr>
                <w:lang w:eastAsia="pl-PL"/>
              </w:rPr>
            </w:pPr>
            <w:r w:rsidRPr="00915723">
              <w:rPr>
                <w:lang w:eastAsia="pl-PL"/>
              </w:rPr>
              <w:t>Zakres rzeczowy</w:t>
            </w:r>
          </w:p>
        </w:tc>
      </w:tr>
      <w:tr w:rsidR="00231D05" w:rsidRPr="00915723" w:rsidTr="004E3043">
        <w:trPr>
          <w:cnfStyle w:val="000000100000"/>
          <w:trHeight w:val="20"/>
          <w:jc w:val="center"/>
        </w:trPr>
        <w:tc>
          <w:tcPr>
            <w:cnfStyle w:val="001000000000"/>
            <w:tcW w:w="4606" w:type="dxa"/>
          </w:tcPr>
          <w:p w:rsidR="00231D05" w:rsidRPr="00915723" w:rsidRDefault="00231D05" w:rsidP="00231D05">
            <w:pPr>
              <w:jc w:val="center"/>
              <w:rPr>
                <w:b w:val="0"/>
                <w:lang w:eastAsia="pl-PL"/>
              </w:rPr>
            </w:pPr>
            <w:r w:rsidRPr="00915723">
              <w:rPr>
                <w:lang w:eastAsia="pl-PL"/>
              </w:rPr>
              <w:t>Modernizacja sieci energetycznej w m. Chełmce</w:t>
            </w:r>
          </w:p>
        </w:tc>
        <w:tc>
          <w:tcPr>
            <w:tcW w:w="4606" w:type="dxa"/>
          </w:tcPr>
          <w:p w:rsidR="00231D05" w:rsidRPr="00915723" w:rsidRDefault="00231D05" w:rsidP="00231D05">
            <w:pPr>
              <w:jc w:val="center"/>
              <w:cnfStyle w:val="000000100000"/>
              <w:rPr>
                <w:lang w:eastAsia="pl-PL"/>
              </w:rPr>
            </w:pPr>
            <w:r w:rsidRPr="00915723">
              <w:rPr>
                <w:lang w:eastAsia="pl-PL"/>
              </w:rPr>
              <w:t>Linia nap. SN- 0,3 km</w:t>
            </w:r>
          </w:p>
          <w:p w:rsidR="00231D05" w:rsidRPr="00915723" w:rsidRDefault="00231D05" w:rsidP="00231D05">
            <w:pPr>
              <w:jc w:val="center"/>
              <w:cnfStyle w:val="000000100000"/>
              <w:rPr>
                <w:lang w:eastAsia="pl-PL"/>
              </w:rPr>
            </w:pPr>
            <w:r w:rsidRPr="00915723">
              <w:rPr>
                <w:lang w:eastAsia="pl-PL"/>
              </w:rPr>
              <w:t xml:space="preserve">Linia. </w:t>
            </w:r>
            <w:proofErr w:type="spellStart"/>
            <w:r w:rsidRPr="00915723">
              <w:rPr>
                <w:lang w:eastAsia="pl-PL"/>
              </w:rPr>
              <w:t>nap.nn</w:t>
            </w:r>
            <w:proofErr w:type="spellEnd"/>
            <w:r w:rsidRPr="00915723">
              <w:rPr>
                <w:lang w:eastAsia="pl-PL"/>
              </w:rPr>
              <w:t>- 1,03 km</w:t>
            </w:r>
          </w:p>
          <w:p w:rsidR="00231D05" w:rsidRPr="00915723" w:rsidRDefault="00231D05" w:rsidP="00231D05">
            <w:pPr>
              <w:jc w:val="center"/>
              <w:cnfStyle w:val="000000100000"/>
              <w:rPr>
                <w:lang w:eastAsia="pl-PL"/>
              </w:rPr>
            </w:pPr>
            <w:r w:rsidRPr="00915723">
              <w:rPr>
                <w:lang w:eastAsia="pl-PL"/>
              </w:rPr>
              <w:t>Stacja nap.- 2szt</w:t>
            </w:r>
          </w:p>
          <w:p w:rsidR="00231D05" w:rsidRPr="00915723" w:rsidRDefault="00231D05" w:rsidP="00231D05">
            <w:pPr>
              <w:jc w:val="center"/>
              <w:cnfStyle w:val="000000100000"/>
              <w:rPr>
                <w:lang w:eastAsia="pl-PL"/>
              </w:rPr>
            </w:pPr>
            <w:proofErr w:type="spellStart"/>
            <w:r w:rsidRPr="00915723">
              <w:rPr>
                <w:lang w:eastAsia="pl-PL"/>
              </w:rPr>
              <w:t>Przyłacza</w:t>
            </w:r>
            <w:proofErr w:type="spellEnd"/>
            <w:r w:rsidRPr="00915723">
              <w:rPr>
                <w:lang w:eastAsia="pl-PL"/>
              </w:rPr>
              <w:t xml:space="preserve"> nap. – 20 </w:t>
            </w:r>
            <w:proofErr w:type="spellStart"/>
            <w:r w:rsidRPr="00915723">
              <w:rPr>
                <w:lang w:eastAsia="pl-PL"/>
              </w:rPr>
              <w:t>szt</w:t>
            </w:r>
            <w:proofErr w:type="spellEnd"/>
          </w:p>
          <w:p w:rsidR="00231D05" w:rsidRPr="00915723" w:rsidRDefault="00231D05" w:rsidP="00231D05">
            <w:pPr>
              <w:jc w:val="center"/>
              <w:cnfStyle w:val="000000100000"/>
              <w:rPr>
                <w:lang w:eastAsia="pl-PL"/>
              </w:rPr>
            </w:pPr>
          </w:p>
        </w:tc>
      </w:tr>
      <w:tr w:rsidR="00231D05" w:rsidRPr="00915723" w:rsidTr="004E3043">
        <w:trPr>
          <w:trHeight w:val="20"/>
          <w:jc w:val="center"/>
        </w:trPr>
        <w:tc>
          <w:tcPr>
            <w:cnfStyle w:val="001000000000"/>
            <w:tcW w:w="4606" w:type="dxa"/>
          </w:tcPr>
          <w:p w:rsidR="00231D05" w:rsidRPr="00915723" w:rsidRDefault="00231D05" w:rsidP="00231D05">
            <w:pPr>
              <w:rPr>
                <w:b w:val="0"/>
                <w:lang w:eastAsia="pl-PL"/>
              </w:rPr>
            </w:pPr>
            <w:r w:rsidRPr="00915723">
              <w:rPr>
                <w:lang w:eastAsia="pl-PL"/>
              </w:rPr>
              <w:t xml:space="preserve">Przebudowa linii </w:t>
            </w:r>
            <w:proofErr w:type="spellStart"/>
            <w:r w:rsidRPr="00915723">
              <w:rPr>
                <w:lang w:eastAsia="pl-PL"/>
              </w:rPr>
              <w:t>nn</w:t>
            </w:r>
            <w:proofErr w:type="spellEnd"/>
            <w:r w:rsidRPr="00915723">
              <w:rPr>
                <w:lang w:eastAsia="pl-PL"/>
              </w:rPr>
              <w:t xml:space="preserve"> ze stacji </w:t>
            </w:r>
            <w:proofErr w:type="spellStart"/>
            <w:r w:rsidRPr="00915723">
              <w:rPr>
                <w:lang w:eastAsia="pl-PL"/>
              </w:rPr>
              <w:t>trafo</w:t>
            </w:r>
            <w:proofErr w:type="spellEnd"/>
            <w:r w:rsidRPr="00915723">
              <w:rPr>
                <w:lang w:eastAsia="pl-PL"/>
              </w:rPr>
              <w:t xml:space="preserve"> „Niedźwiedź Nowy 491”</w:t>
            </w:r>
          </w:p>
        </w:tc>
        <w:tc>
          <w:tcPr>
            <w:tcW w:w="4606" w:type="dxa"/>
          </w:tcPr>
          <w:p w:rsidR="00231D05" w:rsidRPr="00915723" w:rsidRDefault="00231D05" w:rsidP="00231D05">
            <w:pPr>
              <w:jc w:val="center"/>
              <w:cnfStyle w:val="000000000000"/>
              <w:rPr>
                <w:lang w:eastAsia="pl-PL"/>
              </w:rPr>
            </w:pPr>
            <w:r w:rsidRPr="00915723">
              <w:rPr>
                <w:lang w:eastAsia="pl-PL"/>
              </w:rPr>
              <w:t xml:space="preserve">Linia. </w:t>
            </w:r>
            <w:proofErr w:type="spellStart"/>
            <w:r w:rsidRPr="00915723">
              <w:rPr>
                <w:lang w:eastAsia="pl-PL"/>
              </w:rPr>
              <w:t>nap.nn</w:t>
            </w:r>
            <w:proofErr w:type="spellEnd"/>
            <w:r w:rsidRPr="00915723">
              <w:rPr>
                <w:lang w:eastAsia="pl-PL"/>
              </w:rPr>
              <w:t>- 2,2 km</w:t>
            </w:r>
          </w:p>
          <w:p w:rsidR="00231D05" w:rsidRPr="00915723" w:rsidRDefault="00231D05" w:rsidP="00231D05">
            <w:pPr>
              <w:jc w:val="center"/>
              <w:cnfStyle w:val="000000000000"/>
              <w:rPr>
                <w:lang w:eastAsia="pl-PL"/>
              </w:rPr>
            </w:pPr>
            <w:r w:rsidRPr="00915723">
              <w:rPr>
                <w:lang w:eastAsia="pl-PL"/>
              </w:rPr>
              <w:t xml:space="preserve">Stacja nap.-1 </w:t>
            </w:r>
            <w:proofErr w:type="spellStart"/>
            <w:r w:rsidRPr="00915723">
              <w:rPr>
                <w:lang w:eastAsia="pl-PL"/>
              </w:rPr>
              <w:t>szt</w:t>
            </w:r>
            <w:proofErr w:type="spellEnd"/>
          </w:p>
          <w:p w:rsidR="00231D05" w:rsidRPr="00915723" w:rsidRDefault="00231D05" w:rsidP="00231D05">
            <w:pPr>
              <w:jc w:val="center"/>
              <w:cnfStyle w:val="000000000000"/>
              <w:rPr>
                <w:lang w:eastAsia="pl-PL"/>
              </w:rPr>
            </w:pPr>
            <w:r w:rsidRPr="00915723">
              <w:rPr>
                <w:lang w:eastAsia="pl-PL"/>
              </w:rPr>
              <w:t xml:space="preserve">Przyłącza kabl.-18 </w:t>
            </w:r>
            <w:proofErr w:type="spellStart"/>
            <w:r w:rsidRPr="00915723">
              <w:rPr>
                <w:lang w:eastAsia="pl-PL"/>
              </w:rPr>
              <w:t>szt</w:t>
            </w:r>
            <w:proofErr w:type="spellEnd"/>
          </w:p>
        </w:tc>
      </w:tr>
      <w:tr w:rsidR="00231D05" w:rsidRPr="00915723" w:rsidTr="004E3043">
        <w:trPr>
          <w:cnfStyle w:val="000000100000"/>
          <w:trHeight w:val="20"/>
          <w:jc w:val="center"/>
        </w:trPr>
        <w:tc>
          <w:tcPr>
            <w:cnfStyle w:val="001000000000"/>
            <w:tcW w:w="4606" w:type="dxa"/>
          </w:tcPr>
          <w:p w:rsidR="00231D05" w:rsidRPr="00915723" w:rsidRDefault="00231D05" w:rsidP="00231D05">
            <w:pPr>
              <w:jc w:val="center"/>
              <w:rPr>
                <w:b w:val="0"/>
                <w:lang w:eastAsia="pl-PL"/>
              </w:rPr>
            </w:pPr>
            <w:r w:rsidRPr="00915723">
              <w:rPr>
                <w:lang w:eastAsia="pl-PL"/>
              </w:rPr>
              <w:t xml:space="preserve">Modernizacja linii SN relacji </w:t>
            </w:r>
            <w:proofErr w:type="spellStart"/>
            <w:r w:rsidRPr="00915723">
              <w:rPr>
                <w:lang w:eastAsia="pl-PL"/>
              </w:rPr>
              <w:t>Niewachlów-Oblęgorek</w:t>
            </w:r>
            <w:proofErr w:type="spellEnd"/>
            <w:r w:rsidRPr="00915723">
              <w:rPr>
                <w:lang w:eastAsia="pl-PL"/>
              </w:rPr>
              <w:t xml:space="preserve"> w </w:t>
            </w:r>
            <w:r w:rsidRPr="00915723">
              <w:rPr>
                <w:lang w:eastAsia="pl-PL"/>
              </w:rPr>
              <w:lastRenderedPageBreak/>
              <w:t>miej</w:t>
            </w:r>
            <w:r w:rsidR="00B5510E">
              <w:rPr>
                <w:lang w:eastAsia="pl-PL"/>
              </w:rPr>
              <w:t>scowości Niedź</w:t>
            </w:r>
            <w:r w:rsidRPr="00915723">
              <w:rPr>
                <w:lang w:eastAsia="pl-PL"/>
              </w:rPr>
              <w:t>wiedź gm. Strawczyn- RE Kielce</w:t>
            </w:r>
          </w:p>
        </w:tc>
        <w:tc>
          <w:tcPr>
            <w:tcW w:w="4606" w:type="dxa"/>
          </w:tcPr>
          <w:p w:rsidR="00231D05" w:rsidRPr="00915723" w:rsidRDefault="00231D05" w:rsidP="00231D05">
            <w:pPr>
              <w:jc w:val="center"/>
              <w:cnfStyle w:val="000000100000"/>
              <w:rPr>
                <w:lang w:eastAsia="pl-PL"/>
              </w:rPr>
            </w:pPr>
            <w:r w:rsidRPr="00915723">
              <w:rPr>
                <w:lang w:eastAsia="pl-PL"/>
              </w:rPr>
              <w:lastRenderedPageBreak/>
              <w:t>Linia. nap. SN – 0,35km</w:t>
            </w:r>
          </w:p>
        </w:tc>
      </w:tr>
      <w:tr w:rsidR="00915723" w:rsidRPr="00915723" w:rsidTr="004E3043">
        <w:trPr>
          <w:trHeight w:val="20"/>
          <w:jc w:val="center"/>
        </w:trPr>
        <w:tc>
          <w:tcPr>
            <w:cnfStyle w:val="001000000000"/>
            <w:tcW w:w="4606" w:type="dxa"/>
          </w:tcPr>
          <w:p w:rsidR="00915723" w:rsidRPr="00915723" w:rsidRDefault="00915723" w:rsidP="00231D05">
            <w:pPr>
              <w:jc w:val="center"/>
              <w:rPr>
                <w:b w:val="0"/>
                <w:lang w:eastAsia="pl-PL"/>
              </w:rPr>
            </w:pPr>
            <w:r>
              <w:rPr>
                <w:lang w:eastAsia="pl-PL"/>
              </w:rPr>
              <w:lastRenderedPageBreak/>
              <w:t xml:space="preserve">Przebudowa linii </w:t>
            </w:r>
            <w:proofErr w:type="spellStart"/>
            <w:r>
              <w:rPr>
                <w:lang w:eastAsia="pl-PL"/>
              </w:rPr>
              <w:t>nn</w:t>
            </w:r>
            <w:proofErr w:type="spellEnd"/>
            <w:r>
              <w:rPr>
                <w:lang w:eastAsia="pl-PL"/>
              </w:rPr>
              <w:t xml:space="preserve"> ze stacji </w:t>
            </w:r>
            <w:proofErr w:type="spellStart"/>
            <w:r>
              <w:rPr>
                <w:lang w:eastAsia="pl-PL"/>
              </w:rPr>
              <w:t>trafo</w:t>
            </w:r>
            <w:proofErr w:type="spellEnd"/>
            <w:r>
              <w:rPr>
                <w:lang w:eastAsia="pl-PL"/>
              </w:rPr>
              <w:t xml:space="preserve"> Bugaj 477 i Chełmce nad rzeką 1081</w:t>
            </w:r>
          </w:p>
        </w:tc>
        <w:tc>
          <w:tcPr>
            <w:tcW w:w="4606" w:type="dxa"/>
          </w:tcPr>
          <w:p w:rsidR="00915723" w:rsidRDefault="00915723" w:rsidP="00231D05">
            <w:pPr>
              <w:jc w:val="center"/>
              <w:cnfStyle w:val="000000000000"/>
              <w:rPr>
                <w:lang w:eastAsia="pl-PL"/>
              </w:rPr>
            </w:pPr>
            <w:r>
              <w:rPr>
                <w:lang w:eastAsia="pl-PL"/>
              </w:rPr>
              <w:t xml:space="preserve">Linia. nap. </w:t>
            </w:r>
            <w:proofErr w:type="spellStart"/>
            <w:r>
              <w:rPr>
                <w:lang w:eastAsia="pl-PL"/>
              </w:rPr>
              <w:t>nN</w:t>
            </w:r>
            <w:proofErr w:type="spellEnd"/>
            <w:r>
              <w:rPr>
                <w:lang w:eastAsia="pl-PL"/>
              </w:rPr>
              <w:t>- 1,364 km</w:t>
            </w:r>
          </w:p>
          <w:p w:rsidR="00915723" w:rsidRDefault="00915723" w:rsidP="00231D05">
            <w:pPr>
              <w:jc w:val="center"/>
              <w:cnfStyle w:val="000000000000"/>
              <w:rPr>
                <w:lang w:eastAsia="pl-PL"/>
              </w:rPr>
            </w:pPr>
            <w:r>
              <w:rPr>
                <w:lang w:eastAsia="pl-PL"/>
              </w:rPr>
              <w:t>Stacja nap – 1szt</w:t>
            </w:r>
          </w:p>
          <w:p w:rsidR="00915723" w:rsidRPr="00915723" w:rsidRDefault="00915723" w:rsidP="00231D05">
            <w:pPr>
              <w:jc w:val="center"/>
              <w:cnfStyle w:val="000000000000"/>
              <w:rPr>
                <w:lang w:eastAsia="pl-PL"/>
              </w:rPr>
            </w:pPr>
            <w:r>
              <w:rPr>
                <w:lang w:eastAsia="pl-PL"/>
              </w:rPr>
              <w:t xml:space="preserve">Przyłącza nap.- 15 </w:t>
            </w:r>
            <w:proofErr w:type="spellStart"/>
            <w:r>
              <w:rPr>
                <w:lang w:eastAsia="pl-PL"/>
              </w:rPr>
              <w:t>szt</w:t>
            </w:r>
            <w:proofErr w:type="spellEnd"/>
          </w:p>
        </w:tc>
      </w:tr>
      <w:tr w:rsidR="00915723" w:rsidRPr="00915723" w:rsidTr="004E3043">
        <w:trPr>
          <w:cnfStyle w:val="000000100000"/>
          <w:trHeight w:val="20"/>
          <w:jc w:val="center"/>
        </w:trPr>
        <w:tc>
          <w:tcPr>
            <w:cnfStyle w:val="001000000000"/>
            <w:tcW w:w="4606" w:type="dxa"/>
          </w:tcPr>
          <w:p w:rsidR="00915723" w:rsidRDefault="00915723" w:rsidP="00231D05">
            <w:pPr>
              <w:jc w:val="center"/>
              <w:rPr>
                <w:b w:val="0"/>
                <w:lang w:eastAsia="pl-PL"/>
              </w:rPr>
            </w:pPr>
            <w:r>
              <w:rPr>
                <w:lang w:eastAsia="pl-PL"/>
              </w:rPr>
              <w:t>Linia SN w m. Niedźwiedź</w:t>
            </w:r>
          </w:p>
        </w:tc>
        <w:tc>
          <w:tcPr>
            <w:tcW w:w="4606" w:type="dxa"/>
          </w:tcPr>
          <w:p w:rsidR="00915723" w:rsidRDefault="00915723" w:rsidP="00231D05">
            <w:pPr>
              <w:jc w:val="center"/>
              <w:cnfStyle w:val="000000100000"/>
              <w:rPr>
                <w:lang w:eastAsia="pl-PL"/>
              </w:rPr>
            </w:pPr>
            <w:r>
              <w:rPr>
                <w:lang w:eastAsia="pl-PL"/>
              </w:rPr>
              <w:t>I.SN – 91 m</w:t>
            </w:r>
          </w:p>
        </w:tc>
      </w:tr>
      <w:tr w:rsidR="00915723" w:rsidRPr="00915723" w:rsidTr="004E3043">
        <w:trPr>
          <w:trHeight w:val="20"/>
          <w:jc w:val="center"/>
        </w:trPr>
        <w:tc>
          <w:tcPr>
            <w:cnfStyle w:val="001000000000"/>
            <w:tcW w:w="4606" w:type="dxa"/>
          </w:tcPr>
          <w:p w:rsidR="00915723" w:rsidRDefault="00915723" w:rsidP="00231D05">
            <w:pPr>
              <w:jc w:val="center"/>
              <w:rPr>
                <w:b w:val="0"/>
                <w:lang w:eastAsia="pl-PL"/>
              </w:rPr>
            </w:pPr>
            <w:r>
              <w:rPr>
                <w:lang w:eastAsia="pl-PL"/>
              </w:rPr>
              <w:t xml:space="preserve">Linia SN Podewsie </w:t>
            </w:r>
            <w:proofErr w:type="spellStart"/>
            <w:r>
              <w:rPr>
                <w:lang w:eastAsia="pl-PL"/>
              </w:rPr>
              <w:t>Dobrzeszów</w:t>
            </w:r>
            <w:proofErr w:type="spellEnd"/>
            <w:r>
              <w:rPr>
                <w:lang w:eastAsia="pl-PL"/>
              </w:rPr>
              <w:t xml:space="preserve"> Kuźniaki</w:t>
            </w:r>
          </w:p>
        </w:tc>
        <w:tc>
          <w:tcPr>
            <w:tcW w:w="4606" w:type="dxa"/>
          </w:tcPr>
          <w:p w:rsidR="00915723" w:rsidRDefault="00915723" w:rsidP="00915723">
            <w:pPr>
              <w:jc w:val="center"/>
              <w:cnfStyle w:val="000000000000"/>
              <w:rPr>
                <w:lang w:eastAsia="pl-PL"/>
              </w:rPr>
            </w:pPr>
            <w:r>
              <w:rPr>
                <w:lang w:eastAsia="pl-PL"/>
              </w:rPr>
              <w:t>I. SN- 474 m</w:t>
            </w:r>
          </w:p>
        </w:tc>
      </w:tr>
    </w:tbl>
    <w:p w:rsidR="00231D05" w:rsidRDefault="00231D05" w:rsidP="00231D05"/>
    <w:tbl>
      <w:tblPr>
        <w:tblStyle w:val="Tabelalisty3akcent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18"/>
        <w:gridCol w:w="2088"/>
        <w:gridCol w:w="2303"/>
        <w:gridCol w:w="2303"/>
      </w:tblGrid>
      <w:tr w:rsidR="006638A5" w:rsidTr="004E3043">
        <w:trPr>
          <w:cnfStyle w:val="100000000000"/>
          <w:jc w:val="center"/>
        </w:trPr>
        <w:tc>
          <w:tcPr>
            <w:cnfStyle w:val="001000000100"/>
            <w:tcW w:w="2518" w:type="dxa"/>
          </w:tcPr>
          <w:p w:rsidR="006638A5" w:rsidRDefault="006638A5" w:rsidP="006638A5">
            <w:pPr>
              <w:jc w:val="center"/>
            </w:pPr>
            <w:r>
              <w:t>Nazwa/rodzaj projektu inwestycyjnego</w:t>
            </w:r>
          </w:p>
        </w:tc>
        <w:tc>
          <w:tcPr>
            <w:tcW w:w="2088" w:type="dxa"/>
          </w:tcPr>
          <w:p w:rsidR="006638A5" w:rsidRDefault="006638A5" w:rsidP="006638A5">
            <w:pPr>
              <w:jc w:val="center"/>
              <w:cnfStyle w:val="100000000000"/>
            </w:pPr>
            <w:r>
              <w:t>Moc przyłączeniowa( po realizacji inwestycji) [</w:t>
            </w:r>
            <w:proofErr w:type="spellStart"/>
            <w:r>
              <w:t>kW</w:t>
            </w:r>
            <w:proofErr w:type="spellEnd"/>
            <w:r>
              <w:t>]</w:t>
            </w:r>
          </w:p>
        </w:tc>
        <w:tc>
          <w:tcPr>
            <w:tcW w:w="4606" w:type="dxa"/>
            <w:gridSpan w:val="2"/>
          </w:tcPr>
          <w:p w:rsidR="006638A5" w:rsidRDefault="006638A5" w:rsidP="006638A5">
            <w:pPr>
              <w:jc w:val="center"/>
              <w:cnfStyle w:val="100000000000"/>
            </w:pPr>
          </w:p>
          <w:p w:rsidR="006638A5" w:rsidRDefault="006638A5" w:rsidP="006638A5">
            <w:pPr>
              <w:jc w:val="center"/>
              <w:cnfStyle w:val="100000000000"/>
            </w:pPr>
            <w:r>
              <w:t>Zakres rzeczowy</w:t>
            </w:r>
          </w:p>
        </w:tc>
      </w:tr>
      <w:tr w:rsidR="00915723" w:rsidTr="004E3043">
        <w:trPr>
          <w:cnfStyle w:val="000000100000"/>
          <w:jc w:val="center"/>
        </w:trPr>
        <w:tc>
          <w:tcPr>
            <w:cnfStyle w:val="001000000000"/>
            <w:tcW w:w="2518" w:type="dxa"/>
          </w:tcPr>
          <w:p w:rsidR="00915723" w:rsidRDefault="00915723" w:rsidP="00231D05"/>
        </w:tc>
        <w:tc>
          <w:tcPr>
            <w:tcW w:w="2088" w:type="dxa"/>
          </w:tcPr>
          <w:p w:rsidR="00915723" w:rsidRDefault="00915723" w:rsidP="00231D05">
            <w:pPr>
              <w:cnfStyle w:val="000000100000"/>
            </w:pPr>
          </w:p>
        </w:tc>
        <w:tc>
          <w:tcPr>
            <w:tcW w:w="2303" w:type="dxa"/>
          </w:tcPr>
          <w:p w:rsidR="00915723" w:rsidRDefault="006638A5" w:rsidP="00231D05">
            <w:pPr>
              <w:cnfStyle w:val="000000100000"/>
            </w:pPr>
            <w:r>
              <w:t>Przyłącze</w:t>
            </w:r>
          </w:p>
        </w:tc>
        <w:tc>
          <w:tcPr>
            <w:tcW w:w="2303" w:type="dxa"/>
          </w:tcPr>
          <w:p w:rsidR="00915723" w:rsidRDefault="006638A5" w:rsidP="00231D05">
            <w:pPr>
              <w:cnfStyle w:val="000000100000"/>
            </w:pPr>
            <w:r>
              <w:t>Rozbudowa sieci</w:t>
            </w:r>
          </w:p>
        </w:tc>
      </w:tr>
      <w:tr w:rsidR="00915723" w:rsidTr="004E3043">
        <w:trPr>
          <w:jc w:val="center"/>
        </w:trPr>
        <w:tc>
          <w:tcPr>
            <w:cnfStyle w:val="001000000000"/>
            <w:tcW w:w="2518" w:type="dxa"/>
          </w:tcPr>
          <w:p w:rsidR="00915723" w:rsidRDefault="006638A5" w:rsidP="00231D05">
            <w:r>
              <w:t>Przyłączenie do sieci energetycznej obiektów na terenie gminy Strawczyn</w:t>
            </w:r>
          </w:p>
        </w:tc>
        <w:tc>
          <w:tcPr>
            <w:tcW w:w="2088" w:type="dxa"/>
          </w:tcPr>
          <w:p w:rsidR="00915723" w:rsidRDefault="006638A5" w:rsidP="00231D05">
            <w:pPr>
              <w:cnfStyle w:val="000000000000"/>
            </w:pPr>
            <w:r>
              <w:t>4500</w:t>
            </w:r>
          </w:p>
        </w:tc>
        <w:tc>
          <w:tcPr>
            <w:tcW w:w="2303" w:type="dxa"/>
          </w:tcPr>
          <w:p w:rsidR="00915723" w:rsidRDefault="006638A5" w:rsidP="00231D05">
            <w:pPr>
              <w:cnfStyle w:val="000000000000"/>
            </w:pPr>
            <w:r>
              <w:t xml:space="preserve">-l. </w:t>
            </w:r>
            <w:proofErr w:type="spellStart"/>
            <w:r>
              <w:t>kabl.nn</w:t>
            </w:r>
            <w:proofErr w:type="spellEnd"/>
            <w:r>
              <w:t xml:space="preserve"> dł. 7200m</w:t>
            </w:r>
          </w:p>
          <w:p w:rsidR="006638A5" w:rsidRDefault="006638A5" w:rsidP="00231D05">
            <w:pPr>
              <w:cnfStyle w:val="000000000000"/>
            </w:pPr>
            <w:r>
              <w:t>-</w:t>
            </w:r>
            <w:proofErr w:type="spellStart"/>
            <w:r>
              <w:t>l.nap.nn</w:t>
            </w:r>
            <w:proofErr w:type="spellEnd"/>
            <w:r>
              <w:t xml:space="preserve"> dł. 1800m</w:t>
            </w:r>
          </w:p>
          <w:p w:rsidR="006638A5" w:rsidRDefault="006638A5" w:rsidP="00231D05">
            <w:pPr>
              <w:cnfStyle w:val="000000000000"/>
            </w:pPr>
            <w:r>
              <w:t xml:space="preserve">-zł. </w:t>
            </w:r>
            <w:proofErr w:type="spellStart"/>
            <w:r>
              <w:t>Kab</w:t>
            </w:r>
            <w:proofErr w:type="spellEnd"/>
            <w:r>
              <w:t xml:space="preserve">. 200 </w:t>
            </w:r>
            <w:proofErr w:type="spellStart"/>
            <w:r>
              <w:t>szt</w:t>
            </w:r>
            <w:proofErr w:type="spellEnd"/>
          </w:p>
        </w:tc>
        <w:tc>
          <w:tcPr>
            <w:tcW w:w="2303" w:type="dxa"/>
          </w:tcPr>
          <w:p w:rsidR="00915723" w:rsidRDefault="006638A5" w:rsidP="00231D05">
            <w:pPr>
              <w:cnfStyle w:val="000000000000"/>
            </w:pPr>
            <w:r>
              <w:t xml:space="preserve">- </w:t>
            </w:r>
            <w:proofErr w:type="spellStart"/>
            <w:r>
              <w:t>I.kabl</w:t>
            </w:r>
            <w:proofErr w:type="spellEnd"/>
            <w:r>
              <w:t xml:space="preserve">. </w:t>
            </w:r>
            <w:proofErr w:type="spellStart"/>
            <w:r>
              <w:t>nndł</w:t>
            </w:r>
            <w:proofErr w:type="spellEnd"/>
            <w:r>
              <w:t xml:space="preserve"> 1200m</w:t>
            </w:r>
          </w:p>
          <w:p w:rsidR="006638A5" w:rsidRDefault="006638A5" w:rsidP="00231D05">
            <w:pPr>
              <w:cnfStyle w:val="000000000000"/>
            </w:pPr>
            <w:r>
              <w:t>-</w:t>
            </w:r>
            <w:proofErr w:type="spellStart"/>
            <w:r>
              <w:t>I.nap.nndł</w:t>
            </w:r>
            <w:proofErr w:type="spellEnd"/>
            <w:r>
              <w:t xml:space="preserve"> 4800m</w:t>
            </w:r>
          </w:p>
          <w:p w:rsidR="006638A5" w:rsidRDefault="006638A5" w:rsidP="00231D05">
            <w:pPr>
              <w:cnfStyle w:val="000000000000"/>
            </w:pPr>
            <w:r>
              <w:t xml:space="preserve">- I nap. SN </w:t>
            </w:r>
            <w:proofErr w:type="spellStart"/>
            <w:r>
              <w:t>dł</w:t>
            </w:r>
            <w:proofErr w:type="spellEnd"/>
            <w:r>
              <w:t xml:space="preserve"> 600m</w:t>
            </w:r>
          </w:p>
          <w:p w:rsidR="006638A5" w:rsidRDefault="006638A5" w:rsidP="00231D05">
            <w:pPr>
              <w:cnfStyle w:val="000000000000"/>
            </w:pPr>
            <w:r>
              <w:t xml:space="preserve">-stacja nap. 6 </w:t>
            </w:r>
            <w:proofErr w:type="spellStart"/>
            <w:r>
              <w:t>szt</w:t>
            </w:r>
            <w:proofErr w:type="spellEnd"/>
          </w:p>
        </w:tc>
      </w:tr>
      <w:tr w:rsidR="006638A5" w:rsidTr="004E3043">
        <w:trPr>
          <w:cnfStyle w:val="000000100000"/>
          <w:jc w:val="center"/>
        </w:trPr>
        <w:tc>
          <w:tcPr>
            <w:cnfStyle w:val="001000000000"/>
            <w:tcW w:w="2518" w:type="dxa"/>
          </w:tcPr>
          <w:p w:rsidR="006638A5" w:rsidRDefault="006638A5" w:rsidP="00231D05">
            <w:r>
              <w:t>Przyłączenie do sieci energetycznej obiektów na terenie gminy Strawczyn</w:t>
            </w:r>
          </w:p>
        </w:tc>
        <w:tc>
          <w:tcPr>
            <w:tcW w:w="2088" w:type="dxa"/>
          </w:tcPr>
          <w:p w:rsidR="006638A5" w:rsidRDefault="006638A5" w:rsidP="00231D05">
            <w:pPr>
              <w:cnfStyle w:val="000000100000"/>
            </w:pPr>
            <w:r>
              <w:t>480</w:t>
            </w:r>
          </w:p>
        </w:tc>
        <w:tc>
          <w:tcPr>
            <w:tcW w:w="2303" w:type="dxa"/>
          </w:tcPr>
          <w:p w:rsidR="006638A5" w:rsidRDefault="006638A5" w:rsidP="00231D05">
            <w:pPr>
              <w:cnfStyle w:val="000000100000"/>
            </w:pPr>
            <w:r>
              <w:t xml:space="preserve">- I. nap. </w:t>
            </w:r>
            <w:proofErr w:type="spellStart"/>
            <w:r>
              <w:t>Nn</w:t>
            </w:r>
            <w:proofErr w:type="spellEnd"/>
            <w:r>
              <w:t xml:space="preserve"> dł. 870 m</w:t>
            </w:r>
          </w:p>
          <w:p w:rsidR="006638A5" w:rsidRDefault="006638A5" w:rsidP="00231D05">
            <w:pPr>
              <w:cnfStyle w:val="000000100000"/>
            </w:pPr>
            <w:r>
              <w:t xml:space="preserve">- I. </w:t>
            </w:r>
            <w:proofErr w:type="spellStart"/>
            <w:r>
              <w:t>kabl</w:t>
            </w:r>
            <w:proofErr w:type="spellEnd"/>
            <w:r>
              <w:t xml:space="preserve">. </w:t>
            </w:r>
            <w:proofErr w:type="spellStart"/>
            <w:r>
              <w:t>Nn</w:t>
            </w:r>
            <w:proofErr w:type="spellEnd"/>
            <w:r>
              <w:t xml:space="preserve"> dł. 490 m</w:t>
            </w:r>
          </w:p>
          <w:p w:rsidR="006638A5" w:rsidRDefault="006638A5" w:rsidP="00231D05">
            <w:pPr>
              <w:cnfStyle w:val="000000100000"/>
            </w:pPr>
            <w:r>
              <w:t xml:space="preserve">-zł. </w:t>
            </w:r>
            <w:proofErr w:type="spellStart"/>
            <w:r>
              <w:t>kab</w:t>
            </w:r>
            <w:proofErr w:type="spellEnd"/>
            <w:r>
              <w:t>. 2szt</w:t>
            </w:r>
          </w:p>
        </w:tc>
        <w:tc>
          <w:tcPr>
            <w:tcW w:w="2303" w:type="dxa"/>
          </w:tcPr>
          <w:p w:rsidR="006638A5" w:rsidRDefault="007716D8" w:rsidP="00231D05">
            <w:pPr>
              <w:cnfStyle w:val="000000100000"/>
            </w:pPr>
            <w:r>
              <w:t xml:space="preserve">-I. nap. </w:t>
            </w:r>
            <w:proofErr w:type="spellStart"/>
            <w:r>
              <w:t>nndł</w:t>
            </w:r>
            <w:proofErr w:type="spellEnd"/>
            <w:r>
              <w:t xml:space="preserve"> 500 m</w:t>
            </w:r>
          </w:p>
          <w:p w:rsidR="007716D8" w:rsidRDefault="007716D8" w:rsidP="00231D05">
            <w:pPr>
              <w:cnfStyle w:val="000000100000"/>
            </w:pPr>
            <w:r>
              <w:t>- I. nap. SN dł. 850 ,</w:t>
            </w:r>
          </w:p>
          <w:p w:rsidR="007716D8" w:rsidRDefault="007716D8" w:rsidP="00231D05">
            <w:pPr>
              <w:cnfStyle w:val="000000100000"/>
            </w:pPr>
            <w:r>
              <w:t>- stacja nap. 3szt.</w:t>
            </w:r>
          </w:p>
          <w:p w:rsidR="007716D8" w:rsidRDefault="007716D8" w:rsidP="00231D05">
            <w:pPr>
              <w:cnfStyle w:val="000000100000"/>
            </w:pPr>
            <w:r>
              <w:t>- inne. 3 szt.</w:t>
            </w:r>
          </w:p>
        </w:tc>
      </w:tr>
    </w:tbl>
    <w:p w:rsidR="00DB0160" w:rsidRPr="00F96687" w:rsidRDefault="00DB0160" w:rsidP="00F96687"/>
    <w:p w:rsidR="00AB5CB4" w:rsidRPr="007863F0" w:rsidRDefault="00AB5CB4" w:rsidP="007863F0">
      <w:pPr>
        <w:pStyle w:val="Nagwek1"/>
      </w:pPr>
      <w:bookmarkStart w:id="294" w:name="_Toc427675581"/>
      <w:bookmarkStart w:id="295" w:name="_Toc427734981"/>
      <w:r w:rsidRPr="007863F0">
        <w:t>Oświetlenie uliczne</w:t>
      </w:r>
      <w:bookmarkEnd w:id="294"/>
      <w:bookmarkEnd w:id="295"/>
    </w:p>
    <w:p w:rsidR="00AB5CB4" w:rsidRPr="0011011D" w:rsidRDefault="00AB5CB4" w:rsidP="002B3264">
      <w:pPr>
        <w:spacing w:line="360" w:lineRule="auto"/>
      </w:pPr>
      <w:r w:rsidRPr="0011011D">
        <w:t xml:space="preserve">Dane dotyczące oświetlenia ulicznego na terenie gminy Strawczyn uzyskano </w:t>
      </w:r>
      <w:r w:rsidRPr="0011011D">
        <w:br/>
        <w:t xml:space="preserve">z Urzędu Gminy w Strawczynie. Część opraw na terenie gminy jest własnością spółki TAURON. </w:t>
      </w:r>
    </w:p>
    <w:p w:rsidR="00AB5CB4" w:rsidRPr="0011011D" w:rsidRDefault="00AB5CB4" w:rsidP="002B3264">
      <w:pPr>
        <w:spacing w:line="360" w:lineRule="auto"/>
      </w:pPr>
      <w:r w:rsidRPr="0011011D">
        <w:t xml:space="preserve">Charakterystykę oświetlenia ulicznego przedstawia </w:t>
      </w:r>
      <w:r w:rsidRPr="0011011D">
        <w:rPr>
          <w:i/>
        </w:rPr>
        <w:t xml:space="preserve">tabela </w:t>
      </w:r>
      <w:r w:rsidR="007863F0">
        <w:rPr>
          <w:i/>
        </w:rPr>
        <w:t>9</w:t>
      </w:r>
      <w:r w:rsidRPr="0011011D">
        <w:rPr>
          <w:i/>
        </w:rPr>
        <w:t xml:space="preserve">. </w:t>
      </w:r>
      <w:r w:rsidRPr="0011011D">
        <w:t>Roczny czas świecenia oraz wskaźnik emisji CO</w:t>
      </w:r>
      <w:r w:rsidRPr="0011011D">
        <w:rPr>
          <w:vertAlign w:val="subscript"/>
        </w:rPr>
        <w:t>2</w:t>
      </w:r>
      <w:r w:rsidRPr="0011011D">
        <w:t xml:space="preserve"> przyjęto z załącznika nr 2 - Metodyka – do Regulaminu i konkursu GIS "SOWA – Energooszczędne oświetlenie uliczne". </w:t>
      </w:r>
    </w:p>
    <w:p w:rsidR="00AB5CB4" w:rsidRPr="00DE5A45" w:rsidRDefault="00AB5CB4" w:rsidP="004F5745">
      <w:pPr>
        <w:spacing w:line="360" w:lineRule="auto"/>
      </w:pPr>
      <w:r w:rsidRPr="0011011D">
        <w:t>Na terenie gminy występują lampy sodowe. Roczny czas świecenia lamp to 3 650 h.</w:t>
      </w:r>
    </w:p>
    <w:p w:rsidR="007863F0" w:rsidRPr="007863F0" w:rsidRDefault="007863F0" w:rsidP="007863F0">
      <w:pPr>
        <w:pStyle w:val="Legenda"/>
        <w:keepNext/>
        <w:rPr>
          <w:color w:val="auto"/>
        </w:rPr>
      </w:pPr>
      <w:bookmarkStart w:id="296" w:name="_Toc427675355"/>
      <w:r w:rsidRPr="007863F0">
        <w:rPr>
          <w:color w:val="auto"/>
        </w:rPr>
        <w:t xml:space="preserve">Tabela </w:t>
      </w:r>
      <w:r w:rsidR="00A93FFF" w:rsidRPr="007863F0">
        <w:rPr>
          <w:color w:val="auto"/>
        </w:rPr>
        <w:fldChar w:fldCharType="begin"/>
      </w:r>
      <w:r w:rsidRPr="007863F0">
        <w:rPr>
          <w:color w:val="auto"/>
        </w:rPr>
        <w:instrText xml:space="preserve"> SEQ Tabela \* ARABIC </w:instrText>
      </w:r>
      <w:r w:rsidR="00A93FFF" w:rsidRPr="007863F0">
        <w:rPr>
          <w:color w:val="auto"/>
        </w:rPr>
        <w:fldChar w:fldCharType="separate"/>
      </w:r>
      <w:r w:rsidR="00871648">
        <w:rPr>
          <w:noProof/>
          <w:color w:val="auto"/>
        </w:rPr>
        <w:t>9</w:t>
      </w:r>
      <w:r w:rsidR="00A93FFF" w:rsidRPr="007863F0">
        <w:rPr>
          <w:color w:val="auto"/>
        </w:rPr>
        <w:fldChar w:fldCharType="end"/>
      </w:r>
      <w:r w:rsidRPr="007863F0">
        <w:rPr>
          <w:color w:val="auto"/>
        </w:rPr>
        <w:t>. Charakterystyka systemu oświetleniowego gminy Strawczyn.</w:t>
      </w:r>
      <w:bookmarkEnd w:id="296"/>
    </w:p>
    <w:tbl>
      <w:tblPr>
        <w:tblStyle w:val="Tabelalisty3akcent11"/>
        <w:tblW w:w="0" w:type="auto"/>
        <w:tblLook w:val="04A0"/>
      </w:tblPr>
      <w:tblGrid>
        <w:gridCol w:w="1859"/>
        <w:gridCol w:w="1856"/>
        <w:gridCol w:w="1856"/>
        <w:gridCol w:w="1860"/>
        <w:gridCol w:w="1857"/>
      </w:tblGrid>
      <w:tr w:rsidR="004F5745" w:rsidRPr="004F5745" w:rsidTr="004F5745">
        <w:trPr>
          <w:cnfStyle w:val="100000000000"/>
        </w:trPr>
        <w:tc>
          <w:tcPr>
            <w:cnfStyle w:val="001000000100"/>
            <w:tcW w:w="1859" w:type="dxa"/>
            <w:tcBorders>
              <w:right w:val="single" w:sz="4" w:space="0" w:color="2E74B5" w:themeColor="accent1" w:themeShade="BF"/>
            </w:tcBorders>
            <w:shd w:val="clear" w:color="auto" w:fill="2E74B5" w:themeFill="accent1" w:themeFillShade="BF"/>
            <w:vAlign w:val="center"/>
          </w:tcPr>
          <w:p w:rsidR="004F5745" w:rsidRPr="004F5745" w:rsidRDefault="004F5745" w:rsidP="006F68BE">
            <w:pPr>
              <w:jc w:val="center"/>
              <w:rPr>
                <w:rFonts w:ascii="Cambria Math" w:hAnsi="Cambria Math"/>
              </w:rPr>
            </w:pPr>
            <w:r w:rsidRPr="004F5745">
              <w:rPr>
                <w:rFonts w:ascii="Cambria Math" w:hAnsi="Cambria Math"/>
              </w:rPr>
              <w:t>Rodzaj lamp</w:t>
            </w:r>
          </w:p>
        </w:tc>
        <w:tc>
          <w:tcPr>
            <w:tcW w:w="1856" w:type="dxa"/>
            <w:tcBorders>
              <w:left w:val="single" w:sz="4" w:space="0" w:color="2E74B5" w:themeColor="accent1" w:themeShade="BF"/>
              <w:right w:val="single" w:sz="4" w:space="0" w:color="2E74B5" w:themeColor="accent1" w:themeShade="BF"/>
            </w:tcBorders>
            <w:shd w:val="clear" w:color="auto" w:fill="2E74B5" w:themeFill="accent1" w:themeFillShade="BF"/>
            <w:vAlign w:val="center"/>
          </w:tcPr>
          <w:p w:rsidR="004F5745" w:rsidRPr="004F5745" w:rsidRDefault="004F5745" w:rsidP="006F68BE">
            <w:pPr>
              <w:jc w:val="center"/>
              <w:cnfStyle w:val="100000000000"/>
              <w:rPr>
                <w:rFonts w:ascii="Cambria Math" w:hAnsi="Cambria Math"/>
              </w:rPr>
            </w:pPr>
            <w:r w:rsidRPr="004F5745">
              <w:rPr>
                <w:rFonts w:ascii="Cambria Math" w:hAnsi="Cambria Math"/>
              </w:rPr>
              <w:t>Moce opraw [W]</w:t>
            </w:r>
          </w:p>
        </w:tc>
        <w:tc>
          <w:tcPr>
            <w:tcW w:w="1856" w:type="dxa"/>
            <w:tcBorders>
              <w:left w:val="single" w:sz="4" w:space="0" w:color="2E74B5" w:themeColor="accent1" w:themeShade="BF"/>
              <w:right w:val="single" w:sz="4" w:space="0" w:color="2E74B5" w:themeColor="accent1" w:themeShade="BF"/>
            </w:tcBorders>
            <w:shd w:val="clear" w:color="auto" w:fill="2E74B5" w:themeFill="accent1" w:themeFillShade="BF"/>
            <w:vAlign w:val="center"/>
          </w:tcPr>
          <w:p w:rsidR="004F5745" w:rsidRPr="004F5745" w:rsidRDefault="004F5745" w:rsidP="006F68BE">
            <w:pPr>
              <w:jc w:val="center"/>
              <w:cnfStyle w:val="100000000000"/>
              <w:rPr>
                <w:rFonts w:ascii="Cambria Math" w:hAnsi="Cambria Math"/>
              </w:rPr>
            </w:pPr>
            <w:r w:rsidRPr="004F5745">
              <w:rPr>
                <w:rFonts w:ascii="Cambria Math" w:hAnsi="Cambria Math"/>
              </w:rPr>
              <w:t>Ilość opraw</w:t>
            </w:r>
          </w:p>
        </w:tc>
        <w:tc>
          <w:tcPr>
            <w:tcW w:w="1860" w:type="dxa"/>
            <w:tcBorders>
              <w:left w:val="single" w:sz="4" w:space="0" w:color="2E74B5" w:themeColor="accent1" w:themeShade="BF"/>
              <w:right w:val="single" w:sz="4" w:space="0" w:color="2E74B5" w:themeColor="accent1" w:themeShade="BF"/>
            </w:tcBorders>
            <w:shd w:val="clear" w:color="auto" w:fill="2E74B5" w:themeFill="accent1" w:themeFillShade="BF"/>
            <w:vAlign w:val="center"/>
          </w:tcPr>
          <w:p w:rsidR="004F5745" w:rsidRPr="004F5745" w:rsidRDefault="004F5745" w:rsidP="006F68BE">
            <w:pPr>
              <w:jc w:val="center"/>
              <w:cnfStyle w:val="100000000000"/>
              <w:rPr>
                <w:rFonts w:ascii="Cambria Math" w:hAnsi="Cambria Math"/>
              </w:rPr>
            </w:pPr>
            <w:r w:rsidRPr="004F5745">
              <w:rPr>
                <w:rFonts w:ascii="Cambria Math" w:hAnsi="Cambria Math"/>
              </w:rPr>
              <w:t>Zużycie energii [</w:t>
            </w:r>
            <w:proofErr w:type="spellStart"/>
            <w:r w:rsidRPr="004F5745">
              <w:rPr>
                <w:rFonts w:ascii="Cambria Math" w:hAnsi="Cambria Math"/>
              </w:rPr>
              <w:t>MWh</w:t>
            </w:r>
            <w:proofErr w:type="spellEnd"/>
            <w:r w:rsidRPr="004F5745">
              <w:rPr>
                <w:rFonts w:ascii="Cambria Math" w:hAnsi="Cambria Math"/>
              </w:rPr>
              <w:t>]</w:t>
            </w:r>
          </w:p>
        </w:tc>
        <w:tc>
          <w:tcPr>
            <w:tcW w:w="1857" w:type="dxa"/>
            <w:tcBorders>
              <w:left w:val="single" w:sz="4" w:space="0" w:color="2E74B5" w:themeColor="accent1" w:themeShade="BF"/>
            </w:tcBorders>
            <w:shd w:val="clear" w:color="auto" w:fill="2E74B5" w:themeFill="accent1" w:themeFillShade="BF"/>
            <w:vAlign w:val="center"/>
          </w:tcPr>
          <w:p w:rsidR="004F5745" w:rsidRPr="004F5745" w:rsidRDefault="004F5745" w:rsidP="006F68BE">
            <w:pPr>
              <w:jc w:val="center"/>
              <w:cnfStyle w:val="100000000000"/>
              <w:rPr>
                <w:rFonts w:ascii="Cambria Math" w:hAnsi="Cambria Math"/>
              </w:rPr>
            </w:pPr>
            <w:r w:rsidRPr="004F5745">
              <w:rPr>
                <w:rFonts w:ascii="Cambria Math" w:hAnsi="Cambria Math"/>
              </w:rPr>
              <w:t xml:space="preserve">Emisja </w:t>
            </w:r>
            <w:r w:rsidRPr="004F5745">
              <w:rPr>
                <w:rFonts w:ascii="Cambria Math" w:hAnsi="Cambria Math"/>
              </w:rPr>
              <w:br/>
              <w:t>[Mg CO2]</w:t>
            </w:r>
          </w:p>
        </w:tc>
      </w:tr>
      <w:tr w:rsidR="004F5745" w:rsidRPr="004F5745" w:rsidTr="004F5745">
        <w:trPr>
          <w:cnfStyle w:val="000000100000"/>
        </w:trPr>
        <w:tc>
          <w:tcPr>
            <w:cnfStyle w:val="001000000000"/>
            <w:tcW w:w="1859" w:type="dxa"/>
            <w:vMerge w:val="restart"/>
            <w:tcBorders>
              <w:right w:val="single" w:sz="4" w:space="0" w:color="2E74B5" w:themeColor="accent1" w:themeShade="BF"/>
            </w:tcBorders>
            <w:vAlign w:val="center"/>
          </w:tcPr>
          <w:p w:rsidR="004F5745" w:rsidRPr="004F5745" w:rsidRDefault="004F5745" w:rsidP="006F68BE">
            <w:pPr>
              <w:jc w:val="center"/>
              <w:rPr>
                <w:rFonts w:ascii="Cambria Math" w:hAnsi="Cambria Math"/>
              </w:rPr>
            </w:pPr>
            <w:r w:rsidRPr="004F5745">
              <w:rPr>
                <w:rFonts w:ascii="Cambria Math" w:hAnsi="Cambria Math"/>
              </w:rPr>
              <w:t>Sodowe</w:t>
            </w: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r w:rsidRPr="004F5745">
              <w:rPr>
                <w:rFonts w:ascii="Cambria Math" w:hAnsi="Cambria Math"/>
              </w:rPr>
              <w:t>150</w:t>
            </w: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r w:rsidRPr="004F5745">
              <w:rPr>
                <w:rFonts w:ascii="Cambria Math" w:hAnsi="Cambria Math"/>
              </w:rPr>
              <w:t>210</w:t>
            </w:r>
          </w:p>
        </w:tc>
        <w:tc>
          <w:tcPr>
            <w:tcW w:w="1860" w:type="dxa"/>
            <w:vMerge w:val="restart"/>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r w:rsidRPr="004F5745">
              <w:rPr>
                <w:rFonts w:ascii="Cambria Math" w:hAnsi="Cambria Math"/>
              </w:rPr>
              <w:t>75,49</w:t>
            </w:r>
          </w:p>
        </w:tc>
        <w:tc>
          <w:tcPr>
            <w:tcW w:w="1857" w:type="dxa"/>
            <w:vMerge w:val="restart"/>
            <w:tcBorders>
              <w:lef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r w:rsidRPr="004F5745">
              <w:rPr>
                <w:rFonts w:ascii="Cambria Math" w:hAnsi="Cambria Math"/>
              </w:rPr>
              <w:t>67,19</w:t>
            </w:r>
          </w:p>
        </w:tc>
      </w:tr>
      <w:tr w:rsidR="004F5745" w:rsidRPr="004F5745" w:rsidTr="004F5745">
        <w:tc>
          <w:tcPr>
            <w:cnfStyle w:val="001000000000"/>
            <w:tcW w:w="1859" w:type="dxa"/>
            <w:vMerge/>
            <w:tcBorders>
              <w:right w:val="single" w:sz="4" w:space="0" w:color="2E74B5" w:themeColor="accent1" w:themeShade="BF"/>
            </w:tcBorders>
            <w:vAlign w:val="center"/>
          </w:tcPr>
          <w:p w:rsidR="004F5745" w:rsidRPr="004F5745" w:rsidRDefault="004F5745" w:rsidP="006F68BE">
            <w:pPr>
              <w:jc w:val="center"/>
              <w:rPr>
                <w:rFonts w:ascii="Cambria Math" w:hAnsi="Cambria Math"/>
              </w:rPr>
            </w:pP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r w:rsidRPr="004F5745">
              <w:rPr>
                <w:rFonts w:ascii="Cambria Math" w:hAnsi="Cambria Math"/>
              </w:rPr>
              <w:t>75</w:t>
            </w: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r w:rsidRPr="004F5745">
              <w:rPr>
                <w:rFonts w:ascii="Cambria Math" w:hAnsi="Cambria Math"/>
              </w:rPr>
              <w:t>954</w:t>
            </w:r>
          </w:p>
        </w:tc>
        <w:tc>
          <w:tcPr>
            <w:tcW w:w="1860" w:type="dxa"/>
            <w:vMerge/>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p>
        </w:tc>
        <w:tc>
          <w:tcPr>
            <w:tcW w:w="1857" w:type="dxa"/>
            <w:vMerge/>
            <w:tcBorders>
              <w:lef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p>
        </w:tc>
      </w:tr>
      <w:tr w:rsidR="004F5745" w:rsidRPr="004F5745" w:rsidTr="004F5745">
        <w:trPr>
          <w:cnfStyle w:val="000000100000"/>
        </w:trPr>
        <w:tc>
          <w:tcPr>
            <w:cnfStyle w:val="001000000000"/>
            <w:tcW w:w="1859" w:type="dxa"/>
            <w:vMerge/>
            <w:tcBorders>
              <w:right w:val="single" w:sz="4" w:space="0" w:color="2E74B5" w:themeColor="accent1" w:themeShade="BF"/>
            </w:tcBorders>
            <w:vAlign w:val="center"/>
          </w:tcPr>
          <w:p w:rsidR="004F5745" w:rsidRPr="004F5745" w:rsidRDefault="004F5745" w:rsidP="006F68BE">
            <w:pPr>
              <w:jc w:val="center"/>
              <w:rPr>
                <w:rFonts w:ascii="Cambria Math" w:hAnsi="Cambria Math"/>
              </w:rPr>
            </w:pP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r w:rsidRPr="004F5745">
              <w:rPr>
                <w:rFonts w:ascii="Cambria Math" w:hAnsi="Cambria Math"/>
              </w:rPr>
              <w:t>100</w:t>
            </w: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r w:rsidRPr="004F5745">
              <w:rPr>
                <w:rFonts w:ascii="Cambria Math" w:hAnsi="Cambria Math"/>
              </w:rPr>
              <w:t>477</w:t>
            </w:r>
          </w:p>
        </w:tc>
        <w:tc>
          <w:tcPr>
            <w:tcW w:w="1860" w:type="dxa"/>
            <w:vMerge/>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p>
        </w:tc>
        <w:tc>
          <w:tcPr>
            <w:tcW w:w="1857" w:type="dxa"/>
            <w:vMerge/>
            <w:tcBorders>
              <w:left w:val="single" w:sz="4" w:space="0" w:color="2E74B5" w:themeColor="accent1" w:themeShade="BF"/>
            </w:tcBorders>
            <w:vAlign w:val="center"/>
          </w:tcPr>
          <w:p w:rsidR="004F5745" w:rsidRPr="004F5745" w:rsidRDefault="004F5745" w:rsidP="006F68BE">
            <w:pPr>
              <w:jc w:val="center"/>
              <w:cnfStyle w:val="000000100000"/>
              <w:rPr>
                <w:rFonts w:ascii="Cambria Math" w:hAnsi="Cambria Math"/>
              </w:rPr>
            </w:pPr>
          </w:p>
        </w:tc>
      </w:tr>
      <w:tr w:rsidR="004F5745" w:rsidRPr="004F5745" w:rsidTr="004F5745">
        <w:tc>
          <w:tcPr>
            <w:cnfStyle w:val="001000000000"/>
            <w:tcW w:w="1859" w:type="dxa"/>
            <w:vMerge/>
            <w:tcBorders>
              <w:right w:val="single" w:sz="4" w:space="0" w:color="2E74B5" w:themeColor="accent1" w:themeShade="BF"/>
            </w:tcBorders>
            <w:vAlign w:val="center"/>
          </w:tcPr>
          <w:p w:rsidR="004F5745" w:rsidRPr="004F5745" w:rsidRDefault="004F5745" w:rsidP="006F68BE">
            <w:pPr>
              <w:jc w:val="center"/>
              <w:rPr>
                <w:rFonts w:ascii="Cambria Math" w:hAnsi="Cambria Math"/>
              </w:rPr>
            </w:pP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r w:rsidRPr="004F5745">
              <w:rPr>
                <w:rFonts w:ascii="Cambria Math" w:hAnsi="Cambria Math"/>
              </w:rPr>
              <w:t>150</w:t>
            </w:r>
          </w:p>
        </w:tc>
        <w:tc>
          <w:tcPr>
            <w:tcW w:w="1856" w:type="dxa"/>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r w:rsidRPr="004F5745">
              <w:rPr>
                <w:rFonts w:ascii="Cambria Math" w:hAnsi="Cambria Math"/>
              </w:rPr>
              <w:t>159</w:t>
            </w:r>
          </w:p>
        </w:tc>
        <w:tc>
          <w:tcPr>
            <w:tcW w:w="1860" w:type="dxa"/>
            <w:vMerge/>
            <w:tcBorders>
              <w:left w:val="single" w:sz="4" w:space="0" w:color="2E74B5" w:themeColor="accent1" w:themeShade="BF"/>
              <w:righ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p>
        </w:tc>
        <w:tc>
          <w:tcPr>
            <w:tcW w:w="1857" w:type="dxa"/>
            <w:vMerge/>
            <w:tcBorders>
              <w:left w:val="single" w:sz="4" w:space="0" w:color="2E74B5" w:themeColor="accent1" w:themeShade="BF"/>
            </w:tcBorders>
            <w:vAlign w:val="center"/>
          </w:tcPr>
          <w:p w:rsidR="004F5745" w:rsidRPr="004F5745" w:rsidRDefault="004F5745" w:rsidP="006F68BE">
            <w:pPr>
              <w:jc w:val="center"/>
              <w:cnfStyle w:val="000000000000"/>
              <w:rPr>
                <w:rFonts w:ascii="Cambria Math" w:hAnsi="Cambria Math"/>
              </w:rPr>
            </w:pPr>
          </w:p>
        </w:tc>
      </w:tr>
    </w:tbl>
    <w:p w:rsidR="004F5745" w:rsidRPr="0011011D" w:rsidRDefault="004F5745" w:rsidP="004F5745">
      <w:pPr>
        <w:jc w:val="right"/>
        <w:rPr>
          <w:rFonts w:ascii="Cambria Math" w:hAnsi="Cambria Math" w:cstheme="minorHAnsi"/>
          <w:i/>
          <w:szCs w:val="24"/>
        </w:rPr>
      </w:pPr>
      <w:r w:rsidRPr="0011011D">
        <w:rPr>
          <w:rFonts w:ascii="Cambria Math" w:hAnsi="Cambria Math" w:cstheme="minorHAnsi"/>
          <w:i/>
          <w:szCs w:val="24"/>
        </w:rPr>
        <w:t>Źródło: Opracowanie własne na podstawie danych uzyskanych z Urzędu Gminy w Strawczynie.</w:t>
      </w:r>
    </w:p>
    <w:p w:rsidR="004F5745" w:rsidRPr="0011011D" w:rsidRDefault="004F5745" w:rsidP="004F5745">
      <w:pPr>
        <w:rPr>
          <w:rFonts w:ascii="Cambria Math" w:hAnsi="Cambria Math" w:cstheme="minorHAnsi"/>
          <w:sz w:val="24"/>
          <w:szCs w:val="24"/>
        </w:rPr>
      </w:pPr>
      <w:r w:rsidRPr="0011011D">
        <w:rPr>
          <w:rFonts w:ascii="Cambria Math" w:hAnsi="Cambria Math" w:cstheme="minorHAnsi"/>
          <w:sz w:val="24"/>
          <w:szCs w:val="24"/>
        </w:rPr>
        <w:t xml:space="preserve">Średnia moc oprawy wynosi 97 W, natomiast łączna moc systemu wynosi 175 </w:t>
      </w:r>
      <w:proofErr w:type="spellStart"/>
      <w:r w:rsidRPr="0011011D">
        <w:rPr>
          <w:rFonts w:ascii="Cambria Math" w:hAnsi="Cambria Math" w:cstheme="minorHAnsi"/>
          <w:sz w:val="24"/>
          <w:szCs w:val="24"/>
        </w:rPr>
        <w:t>kW</w:t>
      </w:r>
      <w:proofErr w:type="spellEnd"/>
      <w:r w:rsidRPr="0011011D">
        <w:rPr>
          <w:rFonts w:ascii="Cambria Math" w:hAnsi="Cambria Math" w:cstheme="minorHAnsi"/>
          <w:sz w:val="24"/>
          <w:szCs w:val="24"/>
        </w:rPr>
        <w:t>.</w:t>
      </w:r>
    </w:p>
    <w:p w:rsidR="004F5745" w:rsidRDefault="004F5745" w:rsidP="004F5745">
      <w:pPr>
        <w:spacing w:line="360" w:lineRule="auto"/>
        <w:rPr>
          <w:lang w:eastAsia="pl-PL"/>
        </w:rPr>
      </w:pPr>
      <w:bookmarkStart w:id="297" w:name="_Toc427566540"/>
      <w:r w:rsidRPr="00C80EC8">
        <w:rPr>
          <w:lang w:eastAsia="pl-PL"/>
        </w:rPr>
        <w:t>Aktualny i prognozo</w:t>
      </w:r>
      <w:r w:rsidR="00F96687">
        <w:rPr>
          <w:lang w:eastAsia="pl-PL"/>
        </w:rPr>
        <w:t xml:space="preserve">wany poziom cen nośników paliw </w:t>
      </w:r>
      <w:r w:rsidRPr="00C80EC8">
        <w:rPr>
          <w:lang w:eastAsia="pl-PL"/>
        </w:rPr>
        <w:t>i energii</w:t>
      </w:r>
      <w:bookmarkEnd w:id="297"/>
      <w:r w:rsidR="00F96687">
        <w:rPr>
          <w:lang w:eastAsia="pl-PL"/>
        </w:rPr>
        <w:t>.</w:t>
      </w:r>
    </w:p>
    <w:p w:rsidR="0013718A" w:rsidRDefault="0013718A" w:rsidP="004F5745">
      <w:pPr>
        <w:spacing w:line="360" w:lineRule="auto"/>
        <w:rPr>
          <w:lang w:eastAsia="pl-PL"/>
        </w:rPr>
      </w:pPr>
    </w:p>
    <w:p w:rsidR="0013718A" w:rsidRDefault="0013718A" w:rsidP="004F5745">
      <w:pPr>
        <w:spacing w:line="360" w:lineRule="auto"/>
        <w:rPr>
          <w:lang w:eastAsia="pl-PL"/>
        </w:rPr>
      </w:pPr>
    </w:p>
    <w:p w:rsidR="00F96687" w:rsidRPr="00F96687" w:rsidRDefault="00F96687" w:rsidP="00F96687">
      <w:pPr>
        <w:spacing w:line="360" w:lineRule="auto"/>
        <w:rPr>
          <w:u w:val="single"/>
          <w:lang w:eastAsia="pl-PL"/>
        </w:rPr>
      </w:pPr>
      <w:r w:rsidRPr="00F96687">
        <w:rPr>
          <w:u w:val="single"/>
          <w:lang w:eastAsia="pl-PL"/>
        </w:rPr>
        <w:t>Oświetlenie uliczne</w:t>
      </w:r>
    </w:p>
    <w:p w:rsidR="00F96687" w:rsidRPr="00F96687" w:rsidRDefault="00F96687" w:rsidP="00F96687">
      <w:pPr>
        <w:spacing w:line="360" w:lineRule="auto"/>
        <w:rPr>
          <w:lang w:eastAsia="pl-PL"/>
        </w:rPr>
      </w:pPr>
      <w:r w:rsidRPr="00F96687">
        <w:rPr>
          <w:lang w:eastAsia="pl-PL"/>
        </w:rPr>
        <w:t>W celu racjonalizowania zużycia energii elektrycznej należy na bieżąco wdrażać działania związane z:</w:t>
      </w:r>
    </w:p>
    <w:p w:rsidR="00F96687" w:rsidRPr="00F96687" w:rsidRDefault="00F96687" w:rsidP="00775439">
      <w:pPr>
        <w:numPr>
          <w:ilvl w:val="0"/>
          <w:numId w:val="52"/>
        </w:numPr>
        <w:spacing w:line="360" w:lineRule="auto"/>
        <w:rPr>
          <w:lang w:eastAsia="pl-PL"/>
        </w:rPr>
      </w:pPr>
      <w:r w:rsidRPr="00F96687">
        <w:rPr>
          <w:lang w:eastAsia="pl-PL"/>
        </w:rPr>
        <w:t>stosowaniem i wymianą źródeł światła tradycyjnego na nowoczesne, energooszczędne;</w:t>
      </w:r>
    </w:p>
    <w:p w:rsidR="00F96687" w:rsidRPr="00F96687" w:rsidRDefault="00F96687" w:rsidP="00775439">
      <w:pPr>
        <w:numPr>
          <w:ilvl w:val="0"/>
          <w:numId w:val="52"/>
        </w:numPr>
        <w:spacing w:line="360" w:lineRule="auto"/>
        <w:rPr>
          <w:lang w:eastAsia="pl-PL"/>
        </w:rPr>
      </w:pPr>
      <w:r w:rsidRPr="00F96687">
        <w:rPr>
          <w:lang w:eastAsia="pl-PL"/>
        </w:rPr>
        <w:t>stosowaniem i wymianą opraw na nowoczesne, ekonomiczne w zużyciu energii;</w:t>
      </w:r>
    </w:p>
    <w:p w:rsidR="00F96687" w:rsidRPr="00F96687" w:rsidRDefault="00F96687" w:rsidP="00775439">
      <w:pPr>
        <w:numPr>
          <w:ilvl w:val="0"/>
          <w:numId w:val="52"/>
        </w:numPr>
        <w:spacing w:line="360" w:lineRule="auto"/>
        <w:rPr>
          <w:lang w:eastAsia="pl-PL"/>
        </w:rPr>
      </w:pPr>
      <w:r w:rsidRPr="00F96687">
        <w:rPr>
          <w:lang w:eastAsia="pl-PL"/>
        </w:rPr>
        <w:t>właściwą eksploatacją urządzeń oświetleniowych;</w:t>
      </w:r>
    </w:p>
    <w:p w:rsidR="00F96687" w:rsidRPr="00F96687" w:rsidRDefault="00F96687" w:rsidP="00775439">
      <w:pPr>
        <w:numPr>
          <w:ilvl w:val="0"/>
          <w:numId w:val="52"/>
        </w:numPr>
        <w:spacing w:line="360" w:lineRule="auto"/>
        <w:rPr>
          <w:lang w:eastAsia="pl-PL"/>
        </w:rPr>
      </w:pPr>
      <w:r w:rsidRPr="00F96687">
        <w:rPr>
          <w:lang w:eastAsia="pl-PL"/>
        </w:rPr>
        <w:t>stosowaniem opraw z czujnikami ruchu;</w:t>
      </w:r>
    </w:p>
    <w:p w:rsidR="00F96687" w:rsidRPr="00F96687" w:rsidRDefault="00F96687" w:rsidP="00775439">
      <w:pPr>
        <w:numPr>
          <w:ilvl w:val="0"/>
          <w:numId w:val="52"/>
        </w:numPr>
        <w:spacing w:line="360" w:lineRule="auto"/>
        <w:rPr>
          <w:lang w:eastAsia="pl-PL"/>
        </w:rPr>
      </w:pPr>
      <w:r w:rsidRPr="00F96687">
        <w:rPr>
          <w:lang w:eastAsia="pl-PL"/>
        </w:rPr>
        <w:t>właściwym doborem natężenia oświetlenia;</w:t>
      </w:r>
    </w:p>
    <w:p w:rsidR="00F96687" w:rsidRDefault="00F96687" w:rsidP="00775439">
      <w:pPr>
        <w:numPr>
          <w:ilvl w:val="0"/>
          <w:numId w:val="52"/>
        </w:numPr>
        <w:spacing w:line="360" w:lineRule="auto"/>
        <w:rPr>
          <w:lang w:eastAsia="pl-PL"/>
        </w:rPr>
      </w:pPr>
      <w:r w:rsidRPr="00F96687">
        <w:rPr>
          <w:lang w:eastAsia="pl-PL"/>
        </w:rPr>
        <w:t>regulacją oświetlenia.</w:t>
      </w:r>
    </w:p>
    <w:p w:rsidR="00F96687" w:rsidRPr="007863F0" w:rsidRDefault="00F96687" w:rsidP="007863F0">
      <w:pPr>
        <w:pStyle w:val="Nagwek1"/>
      </w:pPr>
      <w:bookmarkStart w:id="298" w:name="_Toc426638184"/>
      <w:bookmarkStart w:id="299" w:name="_Toc427675582"/>
      <w:bookmarkStart w:id="300" w:name="_Toc427734982"/>
      <w:r w:rsidRPr="007863F0">
        <w:t xml:space="preserve">Aktualny i prognozowany poziom cen nośników paliw </w:t>
      </w:r>
      <w:r w:rsidRPr="007863F0">
        <w:br/>
        <w:t>i energii</w:t>
      </w:r>
      <w:bookmarkEnd w:id="298"/>
      <w:bookmarkEnd w:id="299"/>
      <w:bookmarkEnd w:id="300"/>
    </w:p>
    <w:p w:rsidR="004F5745" w:rsidRPr="00C80EC8" w:rsidRDefault="004F5745" w:rsidP="004F5745">
      <w:pPr>
        <w:spacing w:line="360" w:lineRule="auto"/>
      </w:pPr>
      <w:r w:rsidRPr="00C80EC8">
        <w:t xml:space="preserve">Świadomość dynamicznego rozwoju rynku energetycznego odgrywa istotne znaczenie </w:t>
      </w:r>
      <w:r w:rsidRPr="00C80EC8">
        <w:br/>
        <w:t>w próbie pogodzenia celów gospodarczych, energetycznych i środowiskowych kraju. Powiązania pomiędzy rozwojem gospodarczym, zapotrzebowaniem na energię oraz emisją CO</w:t>
      </w:r>
      <w:r w:rsidRPr="00C80EC8">
        <w:rPr>
          <w:vertAlign w:val="subscript"/>
        </w:rPr>
        <w:t xml:space="preserve">2 </w:t>
      </w:r>
      <w:r w:rsidRPr="00C80EC8">
        <w:t xml:space="preserve">wymagają właściwego połączenia strategii z technologią. W raporcie </w:t>
      </w:r>
      <w:proofErr w:type="spellStart"/>
      <w:r w:rsidRPr="00C80EC8">
        <w:rPr>
          <w:i/>
        </w:rPr>
        <w:t>World</w:t>
      </w:r>
      <w:proofErr w:type="spellEnd"/>
      <w:r w:rsidRPr="00C80EC8">
        <w:rPr>
          <w:i/>
        </w:rPr>
        <w:t xml:space="preserve"> Energy Outlook 2013 </w:t>
      </w:r>
      <w:r w:rsidRPr="00C80EC8">
        <w:t xml:space="preserve">podkreśla się, że rynek konsumpcji energii systematycznie przesuwa się </w:t>
      </w:r>
      <w:r>
        <w:br/>
      </w:r>
      <w:r w:rsidRPr="00C80EC8">
        <w:t xml:space="preserve">w kierunku wschodzących gospodarek, w szczególności Chin, Indii i krajów Bliskiego Wschodu. Z tego względu rozwój tych regionów opisano dodatkowo w specjalnym raporcie WEO-2013 </w:t>
      </w:r>
      <w:r w:rsidRPr="00C80EC8">
        <w:rPr>
          <w:i/>
        </w:rPr>
        <w:t>„</w:t>
      </w:r>
      <w:proofErr w:type="spellStart"/>
      <w:r w:rsidRPr="00C80EC8">
        <w:rPr>
          <w:i/>
        </w:rPr>
        <w:t>Southeast</w:t>
      </w:r>
      <w:proofErr w:type="spellEnd"/>
      <w:r w:rsidRPr="00C80EC8">
        <w:rPr>
          <w:i/>
        </w:rPr>
        <w:t xml:space="preserve"> Asia </w:t>
      </w:r>
      <w:proofErr w:type="spellStart"/>
      <w:r w:rsidRPr="00C80EC8">
        <w:rPr>
          <w:i/>
        </w:rPr>
        <w:t>EnergyOutlook”.</w:t>
      </w:r>
      <w:r w:rsidRPr="00C80EC8">
        <w:t>W</w:t>
      </w:r>
      <w:proofErr w:type="spellEnd"/>
      <w:r w:rsidRPr="00C80EC8">
        <w:t xml:space="preserve"> powyższym raporcie prognozuje się, iż Chiny wkrótce zostaną największym importerem ropy naftowej na świecie, natomiast Indie po 2020 roku osiągną status największego importera węgla. </w:t>
      </w:r>
    </w:p>
    <w:p w:rsidR="004F5745" w:rsidRPr="00C80EC8" w:rsidRDefault="004F5745" w:rsidP="004F5745">
      <w:pPr>
        <w:spacing w:line="360" w:lineRule="auto"/>
      </w:pPr>
      <w:r w:rsidRPr="00C80EC8">
        <w:t xml:space="preserve">Szczególną uwagę należy zwrócić na powiązania pomiędzy energią, a szeroko rozumianą gospodarką. Wynika to z regionalnych różnic w cenach gazu i energii elektrycznej, rosnących kosztów importu energii oraz wysokich cen ropy naftowej. </w:t>
      </w:r>
    </w:p>
    <w:p w:rsidR="004F5745" w:rsidRPr="00C80EC8" w:rsidRDefault="004F5745" w:rsidP="004F5745">
      <w:pPr>
        <w:spacing w:line="360" w:lineRule="auto"/>
      </w:pPr>
      <w:r w:rsidRPr="00C80EC8">
        <w:t xml:space="preserve">Dodatkowo wg prognoz WEO sektor energii, który odpowiada za dwie trzecie globalnej emisji gazów cieplarnianych, będzie kluczowym dla osiągnięcia celów klimatycznych. </w:t>
      </w:r>
      <w:r w:rsidRPr="00C80EC8">
        <w:br/>
        <w:t>W związku z tym prowadzone są działania i debaty, które mają prowadzić do ograniczenia wzrostu emisji CO</w:t>
      </w:r>
      <w:r w:rsidRPr="00C80EC8">
        <w:rPr>
          <w:vertAlign w:val="subscript"/>
        </w:rPr>
        <w:t>2</w:t>
      </w:r>
      <w:r w:rsidRPr="00C80EC8">
        <w:t xml:space="preserve"> z sektora energetycznego. Mimo to, wg ostatnich prognoz WEO do 2035 roku zakłada się wzrost emisji z sektora energetyki o 20%. </w:t>
      </w:r>
    </w:p>
    <w:p w:rsidR="004F5745" w:rsidRPr="00C80EC8" w:rsidRDefault="004F5745" w:rsidP="004F5745">
      <w:pPr>
        <w:spacing w:line="360" w:lineRule="auto"/>
      </w:pPr>
      <w:r w:rsidRPr="00C80EC8">
        <w:lastRenderedPageBreak/>
        <w:t xml:space="preserve">Ceny ropy naftowej są stosunkowo podobne na całym świecie, natomiast ceny innych paliw znacząco różnią się między regionami, co wywołało debatę o roli energii </w:t>
      </w:r>
      <w:r w:rsidRPr="00C80EC8">
        <w:br/>
        <w:t xml:space="preserve">w stymulowaniu lub spowalnianiu rozwoju gospodarczego. </w:t>
      </w:r>
    </w:p>
    <w:p w:rsidR="004F5745" w:rsidRPr="00C80EC8" w:rsidRDefault="004F5745" w:rsidP="004F5745">
      <w:pPr>
        <w:spacing w:line="360" w:lineRule="auto"/>
      </w:pPr>
      <w:r w:rsidRPr="00C80EC8">
        <w:t xml:space="preserve">Różnice w cenach nośników energii wpływają na decyzje inwestycyjne i strategie przedsiębiorców oraz znacząco oddziałują na konkurencyjność przemysłu. Aby ograniczyć negatywny wpływ wysokich cen energii na rozwój gospodarki należy skupić się w tym sektorze na promocji bardziej efektywnych, konkurencyjnych i połączonych rynków energetycznych. </w:t>
      </w:r>
    </w:p>
    <w:p w:rsidR="004F5745" w:rsidRDefault="004F5745" w:rsidP="003501B1">
      <w:pPr>
        <w:spacing w:line="360" w:lineRule="auto"/>
        <w:rPr>
          <w:i/>
        </w:rPr>
      </w:pPr>
      <w:r w:rsidRPr="00C80EC8">
        <w:t xml:space="preserve">Dla prognozy cen nośników paliw i energii przyjęto projekcję cen na rynkach europejskich </w:t>
      </w:r>
      <w:r>
        <w:br/>
      </w:r>
      <w:r w:rsidRPr="00C80EC8">
        <w:t>z opracowania Międzynarodowej Agencji Energii „</w:t>
      </w:r>
      <w:proofErr w:type="spellStart"/>
      <w:r w:rsidRPr="00C80EC8">
        <w:rPr>
          <w:i/>
        </w:rPr>
        <w:t>World</w:t>
      </w:r>
      <w:proofErr w:type="spellEnd"/>
      <w:r w:rsidRPr="00C80EC8">
        <w:rPr>
          <w:i/>
        </w:rPr>
        <w:t xml:space="preserve"> Energy Outlook 2013”</w:t>
      </w:r>
      <w:r w:rsidRPr="00C80EC8">
        <w:t xml:space="preserve">(Tabela </w:t>
      </w:r>
      <w:r w:rsidR="007863F0">
        <w:t>10</w:t>
      </w:r>
      <w:r>
        <w:t>; Wykres 17</w:t>
      </w:r>
      <w:r w:rsidRPr="00C80EC8">
        <w:t>).</w:t>
      </w:r>
    </w:p>
    <w:p w:rsidR="007863F0" w:rsidRDefault="007863F0" w:rsidP="003501B1">
      <w:pPr>
        <w:spacing w:line="360" w:lineRule="auto"/>
        <w:rPr>
          <w:i/>
        </w:rPr>
      </w:pPr>
    </w:p>
    <w:p w:rsidR="004F5745" w:rsidRPr="004F5745" w:rsidRDefault="004F5745" w:rsidP="004F5745">
      <w:pPr>
        <w:pStyle w:val="Legenda"/>
        <w:keepNext/>
        <w:spacing w:line="360" w:lineRule="auto"/>
        <w:jc w:val="center"/>
        <w:rPr>
          <w:color w:val="auto"/>
        </w:rPr>
      </w:pPr>
      <w:bookmarkStart w:id="301" w:name="_Toc423523533"/>
      <w:bookmarkStart w:id="302" w:name="_Toc423820000"/>
      <w:bookmarkStart w:id="303" w:name="_Toc427675356"/>
      <w:r w:rsidRPr="004F5745">
        <w:rPr>
          <w:color w:val="auto"/>
        </w:rPr>
        <w:t xml:space="preserve">Tabela </w:t>
      </w:r>
      <w:r w:rsidR="00A93FFF" w:rsidRPr="004F5745">
        <w:rPr>
          <w:color w:val="auto"/>
        </w:rPr>
        <w:fldChar w:fldCharType="begin"/>
      </w:r>
      <w:r w:rsidRPr="004F5745">
        <w:rPr>
          <w:color w:val="auto"/>
        </w:rPr>
        <w:instrText xml:space="preserve"> SEQ Tabela \* ARABIC </w:instrText>
      </w:r>
      <w:r w:rsidR="00A93FFF" w:rsidRPr="004F5745">
        <w:rPr>
          <w:color w:val="auto"/>
        </w:rPr>
        <w:fldChar w:fldCharType="separate"/>
      </w:r>
      <w:r w:rsidR="00871648">
        <w:rPr>
          <w:noProof/>
          <w:color w:val="auto"/>
        </w:rPr>
        <w:t>10</w:t>
      </w:r>
      <w:r w:rsidR="00A93FFF" w:rsidRPr="004F5745">
        <w:rPr>
          <w:color w:val="auto"/>
        </w:rPr>
        <w:fldChar w:fldCharType="end"/>
      </w:r>
      <w:r w:rsidRPr="004F5745">
        <w:rPr>
          <w:color w:val="auto"/>
        </w:rPr>
        <w:t>. Prognoza cen paliw w imporcie do Polski (ceny stałe w USD roku 2009)</w:t>
      </w:r>
      <w:bookmarkEnd w:id="301"/>
      <w:bookmarkEnd w:id="302"/>
      <w:bookmarkEnd w:id="303"/>
    </w:p>
    <w:tbl>
      <w:tblPr>
        <w:tblStyle w:val="Jasnalistaakcent5"/>
        <w:tblW w:w="83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43"/>
        <w:gridCol w:w="2079"/>
        <w:gridCol w:w="960"/>
        <w:gridCol w:w="960"/>
        <w:gridCol w:w="960"/>
        <w:gridCol w:w="960"/>
      </w:tblGrid>
      <w:tr w:rsidR="004F5745" w:rsidRPr="00C80EC8" w:rsidTr="004E3043">
        <w:trPr>
          <w:cnfStyle w:val="100000000000"/>
          <w:trHeight w:val="510"/>
          <w:jc w:val="center"/>
        </w:trPr>
        <w:tc>
          <w:tcPr>
            <w:cnfStyle w:val="001000000000"/>
            <w:tcW w:w="2443" w:type="dxa"/>
            <w:noWrap/>
            <w:hideMark/>
          </w:tcPr>
          <w:p w:rsidR="004F5745" w:rsidRPr="00C80EC8" w:rsidRDefault="004F5745" w:rsidP="006F68BE">
            <w:pPr>
              <w:jc w:val="center"/>
              <w:rPr>
                <w:lang w:eastAsia="pl-PL"/>
              </w:rPr>
            </w:pPr>
          </w:p>
        </w:tc>
        <w:tc>
          <w:tcPr>
            <w:tcW w:w="2079" w:type="dxa"/>
            <w:noWrap/>
            <w:hideMark/>
          </w:tcPr>
          <w:p w:rsidR="004F5745" w:rsidRPr="00C80EC8" w:rsidRDefault="004F5745" w:rsidP="006F68BE">
            <w:pPr>
              <w:jc w:val="center"/>
              <w:cnfStyle w:val="100000000000"/>
              <w:rPr>
                <w:lang w:eastAsia="pl-PL"/>
              </w:rPr>
            </w:pPr>
            <w:r w:rsidRPr="00C80EC8">
              <w:rPr>
                <w:lang w:eastAsia="pl-PL"/>
              </w:rPr>
              <w:t>Jednostka/Rok</w:t>
            </w:r>
          </w:p>
        </w:tc>
        <w:tc>
          <w:tcPr>
            <w:tcW w:w="960" w:type="dxa"/>
            <w:noWrap/>
            <w:hideMark/>
          </w:tcPr>
          <w:p w:rsidR="004F5745" w:rsidRPr="00C80EC8" w:rsidRDefault="004F5745" w:rsidP="006F68BE">
            <w:pPr>
              <w:jc w:val="center"/>
              <w:cnfStyle w:val="100000000000"/>
              <w:rPr>
                <w:lang w:eastAsia="pl-PL"/>
              </w:rPr>
            </w:pPr>
            <w:r w:rsidRPr="00C80EC8">
              <w:rPr>
                <w:lang w:eastAsia="pl-PL"/>
              </w:rPr>
              <w:t>2015</w:t>
            </w:r>
          </w:p>
        </w:tc>
        <w:tc>
          <w:tcPr>
            <w:tcW w:w="960" w:type="dxa"/>
            <w:noWrap/>
            <w:hideMark/>
          </w:tcPr>
          <w:p w:rsidR="004F5745" w:rsidRPr="00C80EC8" w:rsidRDefault="004F5745" w:rsidP="006F68BE">
            <w:pPr>
              <w:jc w:val="center"/>
              <w:cnfStyle w:val="100000000000"/>
              <w:rPr>
                <w:lang w:eastAsia="pl-PL"/>
              </w:rPr>
            </w:pPr>
            <w:r w:rsidRPr="00C80EC8">
              <w:rPr>
                <w:lang w:eastAsia="pl-PL"/>
              </w:rPr>
              <w:t>2020</w:t>
            </w:r>
          </w:p>
        </w:tc>
        <w:tc>
          <w:tcPr>
            <w:tcW w:w="960" w:type="dxa"/>
            <w:noWrap/>
            <w:hideMark/>
          </w:tcPr>
          <w:p w:rsidR="004F5745" w:rsidRPr="00C80EC8" w:rsidRDefault="004F5745" w:rsidP="006F68BE">
            <w:pPr>
              <w:jc w:val="center"/>
              <w:cnfStyle w:val="100000000000"/>
              <w:rPr>
                <w:lang w:eastAsia="pl-PL"/>
              </w:rPr>
            </w:pPr>
            <w:r w:rsidRPr="00C80EC8">
              <w:rPr>
                <w:lang w:eastAsia="pl-PL"/>
              </w:rPr>
              <w:t>2025</w:t>
            </w:r>
          </w:p>
        </w:tc>
        <w:tc>
          <w:tcPr>
            <w:tcW w:w="960" w:type="dxa"/>
            <w:noWrap/>
            <w:hideMark/>
          </w:tcPr>
          <w:p w:rsidR="004F5745" w:rsidRPr="00C80EC8" w:rsidRDefault="004F5745" w:rsidP="006F68BE">
            <w:pPr>
              <w:jc w:val="center"/>
              <w:cnfStyle w:val="100000000000"/>
              <w:rPr>
                <w:lang w:eastAsia="pl-PL"/>
              </w:rPr>
            </w:pPr>
            <w:r w:rsidRPr="00C80EC8">
              <w:rPr>
                <w:lang w:eastAsia="pl-PL"/>
              </w:rPr>
              <w:t>2030</w:t>
            </w:r>
          </w:p>
        </w:tc>
      </w:tr>
      <w:tr w:rsidR="004F5745" w:rsidRPr="00C80EC8" w:rsidTr="004E3043">
        <w:trPr>
          <w:cnfStyle w:val="000000100000"/>
          <w:trHeight w:val="510"/>
          <w:jc w:val="center"/>
        </w:trPr>
        <w:tc>
          <w:tcPr>
            <w:cnfStyle w:val="001000000000"/>
            <w:tcW w:w="2443" w:type="dxa"/>
            <w:vMerge w:val="restart"/>
            <w:noWrap/>
            <w:hideMark/>
          </w:tcPr>
          <w:p w:rsidR="004F5745" w:rsidRPr="00C80EC8" w:rsidRDefault="004F5745" w:rsidP="006F68BE">
            <w:pPr>
              <w:jc w:val="center"/>
              <w:rPr>
                <w:lang w:eastAsia="pl-PL"/>
              </w:rPr>
            </w:pPr>
            <w:r w:rsidRPr="00C80EC8">
              <w:rPr>
                <w:lang w:eastAsia="pl-PL"/>
              </w:rPr>
              <w:t>Węgiel kamienny</w:t>
            </w:r>
          </w:p>
        </w:tc>
        <w:tc>
          <w:tcPr>
            <w:tcW w:w="2079" w:type="dxa"/>
            <w:noWrap/>
            <w:hideMark/>
          </w:tcPr>
          <w:p w:rsidR="004F5745" w:rsidRPr="00C80EC8" w:rsidRDefault="004F5745" w:rsidP="006F68BE">
            <w:pPr>
              <w:jc w:val="center"/>
              <w:cnfStyle w:val="000000100000"/>
              <w:rPr>
                <w:i/>
                <w:sz w:val="20"/>
                <w:szCs w:val="20"/>
                <w:lang w:eastAsia="pl-PL"/>
              </w:rPr>
            </w:pPr>
            <w:r w:rsidRPr="00C80EC8">
              <w:rPr>
                <w:i/>
                <w:sz w:val="20"/>
                <w:szCs w:val="20"/>
                <w:lang w:eastAsia="pl-PL"/>
              </w:rPr>
              <w:t>USD/</w:t>
            </w:r>
            <w:proofErr w:type="spellStart"/>
            <w:r w:rsidRPr="00C80EC8">
              <w:rPr>
                <w:i/>
                <w:sz w:val="20"/>
                <w:szCs w:val="20"/>
                <w:lang w:eastAsia="pl-PL"/>
              </w:rPr>
              <w:t>boe</w:t>
            </w:r>
            <w:proofErr w:type="spellEnd"/>
            <w:r w:rsidRPr="00C80EC8">
              <w:rPr>
                <w:rStyle w:val="Odwoanieprzypisudolnego"/>
                <w:i/>
                <w:sz w:val="20"/>
                <w:szCs w:val="20"/>
                <w:lang w:eastAsia="pl-PL"/>
              </w:rPr>
              <w:footnoteReference w:id="3"/>
            </w:r>
          </w:p>
        </w:tc>
        <w:tc>
          <w:tcPr>
            <w:tcW w:w="960" w:type="dxa"/>
            <w:noWrap/>
            <w:hideMark/>
          </w:tcPr>
          <w:p w:rsidR="004F5745" w:rsidRPr="00C80EC8" w:rsidRDefault="004F5745" w:rsidP="006F68BE">
            <w:pPr>
              <w:jc w:val="center"/>
              <w:cnfStyle w:val="000000100000"/>
              <w:rPr>
                <w:lang w:eastAsia="pl-PL"/>
              </w:rPr>
            </w:pPr>
            <w:r w:rsidRPr="00C80EC8">
              <w:rPr>
                <w:lang w:eastAsia="pl-PL"/>
              </w:rPr>
              <w:t>22,3</w:t>
            </w:r>
          </w:p>
        </w:tc>
        <w:tc>
          <w:tcPr>
            <w:tcW w:w="960" w:type="dxa"/>
            <w:noWrap/>
            <w:hideMark/>
          </w:tcPr>
          <w:p w:rsidR="004F5745" w:rsidRPr="00C80EC8" w:rsidRDefault="004F5745" w:rsidP="006F68BE">
            <w:pPr>
              <w:jc w:val="center"/>
              <w:cnfStyle w:val="000000100000"/>
              <w:rPr>
                <w:lang w:eastAsia="pl-PL"/>
              </w:rPr>
            </w:pPr>
            <w:r w:rsidRPr="00C80EC8">
              <w:rPr>
                <w:lang w:eastAsia="pl-PL"/>
              </w:rPr>
              <w:t>23,2</w:t>
            </w:r>
          </w:p>
        </w:tc>
        <w:tc>
          <w:tcPr>
            <w:tcW w:w="960" w:type="dxa"/>
            <w:noWrap/>
            <w:hideMark/>
          </w:tcPr>
          <w:p w:rsidR="004F5745" w:rsidRPr="00C80EC8" w:rsidRDefault="004F5745" w:rsidP="006F68BE">
            <w:pPr>
              <w:jc w:val="center"/>
              <w:cnfStyle w:val="000000100000"/>
              <w:rPr>
                <w:lang w:eastAsia="pl-PL"/>
              </w:rPr>
            </w:pPr>
            <w:r w:rsidRPr="00C80EC8">
              <w:rPr>
                <w:lang w:eastAsia="pl-PL"/>
              </w:rPr>
              <w:t>23,8</w:t>
            </w:r>
          </w:p>
        </w:tc>
        <w:tc>
          <w:tcPr>
            <w:tcW w:w="960" w:type="dxa"/>
            <w:noWrap/>
            <w:hideMark/>
          </w:tcPr>
          <w:p w:rsidR="004F5745" w:rsidRPr="00C80EC8" w:rsidRDefault="004F5745" w:rsidP="006F68BE">
            <w:pPr>
              <w:jc w:val="center"/>
              <w:cnfStyle w:val="000000100000"/>
              <w:rPr>
                <w:lang w:eastAsia="pl-PL"/>
              </w:rPr>
            </w:pPr>
            <w:r w:rsidRPr="00C80EC8">
              <w:rPr>
                <w:lang w:eastAsia="pl-PL"/>
              </w:rPr>
              <w:t>24,1</w:t>
            </w:r>
          </w:p>
        </w:tc>
      </w:tr>
      <w:tr w:rsidR="004F5745" w:rsidRPr="00C80EC8" w:rsidTr="004E3043">
        <w:trPr>
          <w:trHeight w:val="510"/>
          <w:jc w:val="center"/>
        </w:trPr>
        <w:tc>
          <w:tcPr>
            <w:cnfStyle w:val="001000000000"/>
            <w:tcW w:w="2443" w:type="dxa"/>
            <w:vMerge/>
            <w:hideMark/>
          </w:tcPr>
          <w:p w:rsidR="004F5745" w:rsidRPr="00C80EC8" w:rsidRDefault="004F5745" w:rsidP="006F68BE">
            <w:pPr>
              <w:jc w:val="center"/>
              <w:rPr>
                <w:lang w:eastAsia="pl-PL"/>
              </w:rPr>
            </w:pPr>
          </w:p>
        </w:tc>
        <w:tc>
          <w:tcPr>
            <w:tcW w:w="2079" w:type="dxa"/>
            <w:noWrap/>
            <w:hideMark/>
          </w:tcPr>
          <w:p w:rsidR="004F5745" w:rsidRPr="00C80EC8" w:rsidRDefault="004F5745" w:rsidP="006F68BE">
            <w:pPr>
              <w:jc w:val="center"/>
              <w:cnfStyle w:val="000000000000"/>
              <w:rPr>
                <w:i/>
                <w:sz w:val="20"/>
                <w:szCs w:val="20"/>
                <w:lang w:eastAsia="pl-PL"/>
              </w:rPr>
            </w:pPr>
            <w:r w:rsidRPr="00C80EC8">
              <w:rPr>
                <w:i/>
                <w:sz w:val="20"/>
                <w:szCs w:val="20"/>
                <w:lang w:eastAsia="pl-PL"/>
              </w:rPr>
              <w:t>USD/t</w:t>
            </w:r>
          </w:p>
        </w:tc>
        <w:tc>
          <w:tcPr>
            <w:tcW w:w="960" w:type="dxa"/>
            <w:noWrap/>
            <w:hideMark/>
          </w:tcPr>
          <w:p w:rsidR="004F5745" w:rsidRPr="00C80EC8" w:rsidRDefault="004F5745" w:rsidP="006F68BE">
            <w:pPr>
              <w:jc w:val="center"/>
              <w:cnfStyle w:val="000000000000"/>
              <w:rPr>
                <w:lang w:eastAsia="pl-PL"/>
              </w:rPr>
            </w:pPr>
            <w:r w:rsidRPr="00C80EC8">
              <w:rPr>
                <w:lang w:eastAsia="pl-PL"/>
              </w:rPr>
              <w:t>97,7</w:t>
            </w:r>
          </w:p>
        </w:tc>
        <w:tc>
          <w:tcPr>
            <w:tcW w:w="960" w:type="dxa"/>
            <w:noWrap/>
            <w:hideMark/>
          </w:tcPr>
          <w:p w:rsidR="004F5745" w:rsidRPr="00C80EC8" w:rsidRDefault="004F5745" w:rsidP="006F68BE">
            <w:pPr>
              <w:jc w:val="center"/>
              <w:cnfStyle w:val="000000000000"/>
              <w:rPr>
                <w:lang w:eastAsia="pl-PL"/>
              </w:rPr>
            </w:pPr>
            <w:r w:rsidRPr="00C80EC8">
              <w:rPr>
                <w:lang w:eastAsia="pl-PL"/>
              </w:rPr>
              <w:t>101,7</w:t>
            </w:r>
          </w:p>
        </w:tc>
        <w:tc>
          <w:tcPr>
            <w:tcW w:w="960" w:type="dxa"/>
            <w:noWrap/>
            <w:hideMark/>
          </w:tcPr>
          <w:p w:rsidR="004F5745" w:rsidRPr="00C80EC8" w:rsidRDefault="004F5745" w:rsidP="006F68BE">
            <w:pPr>
              <w:jc w:val="center"/>
              <w:cnfStyle w:val="000000000000"/>
              <w:rPr>
                <w:lang w:eastAsia="pl-PL"/>
              </w:rPr>
            </w:pPr>
            <w:r w:rsidRPr="00C80EC8">
              <w:rPr>
                <w:lang w:eastAsia="pl-PL"/>
              </w:rPr>
              <w:t>104,1</w:t>
            </w:r>
          </w:p>
        </w:tc>
        <w:tc>
          <w:tcPr>
            <w:tcW w:w="960" w:type="dxa"/>
            <w:noWrap/>
            <w:hideMark/>
          </w:tcPr>
          <w:p w:rsidR="004F5745" w:rsidRPr="00C80EC8" w:rsidRDefault="004F5745" w:rsidP="006F68BE">
            <w:pPr>
              <w:jc w:val="center"/>
              <w:cnfStyle w:val="000000000000"/>
              <w:rPr>
                <w:lang w:eastAsia="pl-PL"/>
              </w:rPr>
            </w:pPr>
            <w:r w:rsidRPr="00C80EC8">
              <w:rPr>
                <w:lang w:eastAsia="pl-PL"/>
              </w:rPr>
              <w:t>105,6</w:t>
            </w:r>
          </w:p>
        </w:tc>
      </w:tr>
      <w:tr w:rsidR="004F5745" w:rsidRPr="00C80EC8" w:rsidTr="004E3043">
        <w:trPr>
          <w:cnfStyle w:val="000000100000"/>
          <w:trHeight w:val="510"/>
          <w:jc w:val="center"/>
        </w:trPr>
        <w:tc>
          <w:tcPr>
            <w:cnfStyle w:val="001000000000"/>
            <w:tcW w:w="2443" w:type="dxa"/>
            <w:vMerge/>
            <w:hideMark/>
          </w:tcPr>
          <w:p w:rsidR="004F5745" w:rsidRPr="00C80EC8" w:rsidRDefault="004F5745" w:rsidP="006F68BE">
            <w:pPr>
              <w:jc w:val="center"/>
              <w:rPr>
                <w:lang w:eastAsia="pl-PL"/>
              </w:rPr>
            </w:pPr>
          </w:p>
        </w:tc>
        <w:tc>
          <w:tcPr>
            <w:tcW w:w="2079" w:type="dxa"/>
            <w:noWrap/>
            <w:hideMark/>
          </w:tcPr>
          <w:p w:rsidR="004F5745" w:rsidRPr="00C80EC8" w:rsidRDefault="004F5745" w:rsidP="006F68BE">
            <w:pPr>
              <w:jc w:val="center"/>
              <w:cnfStyle w:val="000000100000"/>
              <w:rPr>
                <w:i/>
                <w:sz w:val="20"/>
                <w:szCs w:val="20"/>
                <w:lang w:eastAsia="pl-PL"/>
              </w:rPr>
            </w:pPr>
            <w:r w:rsidRPr="00C80EC8">
              <w:rPr>
                <w:i/>
                <w:sz w:val="20"/>
                <w:szCs w:val="20"/>
                <w:lang w:eastAsia="pl-PL"/>
              </w:rPr>
              <w:t>USD/GJ</w:t>
            </w:r>
          </w:p>
        </w:tc>
        <w:tc>
          <w:tcPr>
            <w:tcW w:w="960" w:type="dxa"/>
            <w:noWrap/>
            <w:hideMark/>
          </w:tcPr>
          <w:p w:rsidR="004F5745" w:rsidRPr="00C80EC8" w:rsidRDefault="004F5745" w:rsidP="006F68BE">
            <w:pPr>
              <w:jc w:val="center"/>
              <w:cnfStyle w:val="000000100000"/>
              <w:rPr>
                <w:lang w:eastAsia="pl-PL"/>
              </w:rPr>
            </w:pPr>
            <w:r w:rsidRPr="00C80EC8">
              <w:rPr>
                <w:lang w:eastAsia="pl-PL"/>
              </w:rPr>
              <w:t>3,9</w:t>
            </w:r>
          </w:p>
        </w:tc>
        <w:tc>
          <w:tcPr>
            <w:tcW w:w="960" w:type="dxa"/>
            <w:noWrap/>
            <w:hideMark/>
          </w:tcPr>
          <w:p w:rsidR="004F5745" w:rsidRPr="00C80EC8" w:rsidRDefault="004F5745" w:rsidP="006F68BE">
            <w:pPr>
              <w:jc w:val="center"/>
              <w:cnfStyle w:val="000000100000"/>
              <w:rPr>
                <w:lang w:eastAsia="pl-PL"/>
              </w:rPr>
            </w:pPr>
            <w:r w:rsidRPr="00C80EC8">
              <w:rPr>
                <w:lang w:eastAsia="pl-PL"/>
              </w:rPr>
              <w:t>4,1</w:t>
            </w:r>
          </w:p>
        </w:tc>
        <w:tc>
          <w:tcPr>
            <w:tcW w:w="960" w:type="dxa"/>
            <w:noWrap/>
            <w:hideMark/>
          </w:tcPr>
          <w:p w:rsidR="004F5745" w:rsidRPr="00C80EC8" w:rsidRDefault="004F5745" w:rsidP="006F68BE">
            <w:pPr>
              <w:jc w:val="center"/>
              <w:cnfStyle w:val="000000100000"/>
              <w:rPr>
                <w:lang w:eastAsia="pl-PL"/>
              </w:rPr>
            </w:pPr>
            <w:r w:rsidRPr="00C80EC8">
              <w:rPr>
                <w:lang w:eastAsia="pl-PL"/>
              </w:rPr>
              <w:t>4,2</w:t>
            </w:r>
          </w:p>
        </w:tc>
        <w:tc>
          <w:tcPr>
            <w:tcW w:w="960" w:type="dxa"/>
            <w:noWrap/>
            <w:hideMark/>
          </w:tcPr>
          <w:p w:rsidR="004F5745" w:rsidRPr="00C80EC8" w:rsidRDefault="004F5745" w:rsidP="006F68BE">
            <w:pPr>
              <w:jc w:val="center"/>
              <w:cnfStyle w:val="000000100000"/>
              <w:rPr>
                <w:lang w:eastAsia="pl-PL"/>
              </w:rPr>
            </w:pPr>
            <w:r w:rsidRPr="00C80EC8">
              <w:rPr>
                <w:lang w:eastAsia="pl-PL"/>
              </w:rPr>
              <w:t>4,2</w:t>
            </w:r>
          </w:p>
        </w:tc>
      </w:tr>
      <w:tr w:rsidR="004F5745" w:rsidRPr="00C80EC8" w:rsidTr="004E3043">
        <w:trPr>
          <w:trHeight w:val="510"/>
          <w:jc w:val="center"/>
        </w:trPr>
        <w:tc>
          <w:tcPr>
            <w:cnfStyle w:val="001000000000"/>
            <w:tcW w:w="2443" w:type="dxa"/>
            <w:vMerge w:val="restart"/>
            <w:noWrap/>
            <w:hideMark/>
          </w:tcPr>
          <w:p w:rsidR="004F5745" w:rsidRPr="00C80EC8" w:rsidRDefault="004F5745" w:rsidP="006F68BE">
            <w:pPr>
              <w:jc w:val="center"/>
              <w:rPr>
                <w:lang w:eastAsia="pl-PL"/>
              </w:rPr>
            </w:pPr>
            <w:r w:rsidRPr="00C80EC8">
              <w:rPr>
                <w:lang w:eastAsia="pl-PL"/>
              </w:rPr>
              <w:t>Gaz ziemny</w:t>
            </w:r>
          </w:p>
        </w:tc>
        <w:tc>
          <w:tcPr>
            <w:tcW w:w="2079" w:type="dxa"/>
            <w:noWrap/>
            <w:hideMark/>
          </w:tcPr>
          <w:p w:rsidR="004F5745" w:rsidRPr="00C80EC8" w:rsidRDefault="004F5745" w:rsidP="006F68BE">
            <w:pPr>
              <w:jc w:val="center"/>
              <w:cnfStyle w:val="000000000000"/>
              <w:rPr>
                <w:i/>
                <w:sz w:val="20"/>
                <w:szCs w:val="20"/>
                <w:lang w:eastAsia="pl-PL"/>
              </w:rPr>
            </w:pPr>
            <w:r w:rsidRPr="00C80EC8">
              <w:rPr>
                <w:i/>
                <w:sz w:val="20"/>
                <w:szCs w:val="20"/>
                <w:lang w:eastAsia="pl-PL"/>
              </w:rPr>
              <w:t>USD/</w:t>
            </w:r>
            <w:proofErr w:type="spellStart"/>
            <w:r w:rsidRPr="00C80EC8">
              <w:rPr>
                <w:i/>
                <w:sz w:val="20"/>
                <w:szCs w:val="20"/>
                <w:lang w:eastAsia="pl-PL"/>
              </w:rPr>
              <w:t>boe</w:t>
            </w:r>
            <w:proofErr w:type="spellEnd"/>
          </w:p>
        </w:tc>
        <w:tc>
          <w:tcPr>
            <w:tcW w:w="960" w:type="dxa"/>
            <w:noWrap/>
            <w:hideMark/>
          </w:tcPr>
          <w:p w:rsidR="004F5745" w:rsidRPr="00C80EC8" w:rsidRDefault="004F5745" w:rsidP="006F68BE">
            <w:pPr>
              <w:jc w:val="center"/>
              <w:cnfStyle w:val="000000000000"/>
              <w:rPr>
                <w:lang w:eastAsia="pl-PL"/>
              </w:rPr>
            </w:pPr>
            <w:r w:rsidRPr="00C80EC8">
              <w:rPr>
                <w:lang w:eastAsia="pl-PL"/>
              </w:rPr>
              <w:t>63,8</w:t>
            </w:r>
          </w:p>
        </w:tc>
        <w:tc>
          <w:tcPr>
            <w:tcW w:w="960" w:type="dxa"/>
            <w:noWrap/>
            <w:hideMark/>
          </w:tcPr>
          <w:p w:rsidR="004F5745" w:rsidRPr="00C80EC8" w:rsidRDefault="004F5745" w:rsidP="006F68BE">
            <w:pPr>
              <w:jc w:val="center"/>
              <w:cnfStyle w:val="000000000000"/>
              <w:rPr>
                <w:lang w:eastAsia="pl-PL"/>
              </w:rPr>
            </w:pPr>
            <w:r w:rsidRPr="00C80EC8">
              <w:rPr>
                <w:lang w:eastAsia="pl-PL"/>
              </w:rPr>
              <w:t>69,8</w:t>
            </w:r>
          </w:p>
        </w:tc>
        <w:tc>
          <w:tcPr>
            <w:tcW w:w="960" w:type="dxa"/>
            <w:noWrap/>
            <w:hideMark/>
          </w:tcPr>
          <w:p w:rsidR="004F5745" w:rsidRPr="00C80EC8" w:rsidRDefault="004F5745" w:rsidP="006F68BE">
            <w:pPr>
              <w:jc w:val="center"/>
              <w:cnfStyle w:val="000000000000"/>
              <w:rPr>
                <w:lang w:eastAsia="pl-PL"/>
              </w:rPr>
            </w:pPr>
            <w:r w:rsidRPr="00C80EC8">
              <w:rPr>
                <w:lang w:eastAsia="pl-PL"/>
              </w:rPr>
              <w:t>74,0</w:t>
            </w:r>
          </w:p>
        </w:tc>
        <w:tc>
          <w:tcPr>
            <w:tcW w:w="960" w:type="dxa"/>
            <w:noWrap/>
            <w:hideMark/>
          </w:tcPr>
          <w:p w:rsidR="004F5745" w:rsidRPr="00C80EC8" w:rsidRDefault="004F5745" w:rsidP="006F68BE">
            <w:pPr>
              <w:jc w:val="center"/>
              <w:cnfStyle w:val="000000000000"/>
              <w:rPr>
                <w:lang w:eastAsia="pl-PL"/>
              </w:rPr>
            </w:pPr>
            <w:r w:rsidRPr="00C80EC8">
              <w:rPr>
                <w:lang w:eastAsia="pl-PL"/>
              </w:rPr>
              <w:t>77,6</w:t>
            </w:r>
          </w:p>
        </w:tc>
      </w:tr>
      <w:tr w:rsidR="004F5745" w:rsidRPr="00C80EC8" w:rsidTr="004E3043">
        <w:trPr>
          <w:cnfStyle w:val="000000100000"/>
          <w:trHeight w:val="510"/>
          <w:jc w:val="center"/>
        </w:trPr>
        <w:tc>
          <w:tcPr>
            <w:cnfStyle w:val="001000000000"/>
            <w:tcW w:w="2443" w:type="dxa"/>
            <w:vMerge/>
            <w:hideMark/>
          </w:tcPr>
          <w:p w:rsidR="004F5745" w:rsidRPr="00C80EC8" w:rsidRDefault="004F5745" w:rsidP="006F68BE">
            <w:pPr>
              <w:jc w:val="center"/>
              <w:rPr>
                <w:lang w:eastAsia="pl-PL"/>
              </w:rPr>
            </w:pPr>
          </w:p>
        </w:tc>
        <w:tc>
          <w:tcPr>
            <w:tcW w:w="2079" w:type="dxa"/>
            <w:noWrap/>
            <w:hideMark/>
          </w:tcPr>
          <w:p w:rsidR="004F5745" w:rsidRPr="00C80EC8" w:rsidRDefault="004F5745" w:rsidP="006F68BE">
            <w:pPr>
              <w:jc w:val="center"/>
              <w:cnfStyle w:val="000000100000"/>
              <w:rPr>
                <w:i/>
                <w:sz w:val="20"/>
                <w:szCs w:val="20"/>
                <w:lang w:eastAsia="pl-PL"/>
              </w:rPr>
            </w:pPr>
            <w:r w:rsidRPr="00C80EC8">
              <w:rPr>
                <w:i/>
                <w:sz w:val="20"/>
                <w:szCs w:val="20"/>
                <w:lang w:eastAsia="pl-PL"/>
              </w:rPr>
              <w:t>USD/1000m</w:t>
            </w:r>
            <w:r w:rsidRPr="00C80EC8">
              <w:rPr>
                <w:i/>
                <w:sz w:val="20"/>
                <w:szCs w:val="20"/>
                <w:vertAlign w:val="superscript"/>
                <w:lang w:eastAsia="pl-PL"/>
              </w:rPr>
              <w:t>3</w:t>
            </w:r>
          </w:p>
        </w:tc>
        <w:tc>
          <w:tcPr>
            <w:tcW w:w="960" w:type="dxa"/>
            <w:noWrap/>
            <w:hideMark/>
          </w:tcPr>
          <w:p w:rsidR="004F5745" w:rsidRPr="00C80EC8" w:rsidRDefault="004F5745" w:rsidP="006F68BE">
            <w:pPr>
              <w:jc w:val="center"/>
              <w:cnfStyle w:val="000000100000"/>
              <w:rPr>
                <w:lang w:eastAsia="pl-PL"/>
              </w:rPr>
            </w:pPr>
            <w:r w:rsidRPr="00C80EC8">
              <w:rPr>
                <w:lang w:eastAsia="pl-PL"/>
              </w:rPr>
              <w:t>390,3</w:t>
            </w:r>
          </w:p>
        </w:tc>
        <w:tc>
          <w:tcPr>
            <w:tcW w:w="960" w:type="dxa"/>
            <w:noWrap/>
            <w:hideMark/>
          </w:tcPr>
          <w:p w:rsidR="004F5745" w:rsidRPr="00C80EC8" w:rsidRDefault="004F5745" w:rsidP="006F68BE">
            <w:pPr>
              <w:jc w:val="center"/>
              <w:cnfStyle w:val="000000100000"/>
              <w:rPr>
                <w:lang w:eastAsia="pl-PL"/>
              </w:rPr>
            </w:pPr>
            <w:r w:rsidRPr="00C80EC8">
              <w:rPr>
                <w:lang w:eastAsia="pl-PL"/>
              </w:rPr>
              <w:t>427,1</w:t>
            </w:r>
          </w:p>
        </w:tc>
        <w:tc>
          <w:tcPr>
            <w:tcW w:w="960" w:type="dxa"/>
            <w:noWrap/>
            <w:hideMark/>
          </w:tcPr>
          <w:p w:rsidR="004F5745" w:rsidRPr="00C80EC8" w:rsidRDefault="004F5745" w:rsidP="006F68BE">
            <w:pPr>
              <w:jc w:val="center"/>
              <w:cnfStyle w:val="000000100000"/>
              <w:rPr>
                <w:lang w:eastAsia="pl-PL"/>
              </w:rPr>
            </w:pPr>
            <w:r w:rsidRPr="00C80EC8">
              <w:rPr>
                <w:lang w:eastAsia="pl-PL"/>
              </w:rPr>
              <w:t>452,8</w:t>
            </w:r>
          </w:p>
        </w:tc>
        <w:tc>
          <w:tcPr>
            <w:tcW w:w="960" w:type="dxa"/>
            <w:noWrap/>
            <w:hideMark/>
          </w:tcPr>
          <w:p w:rsidR="004F5745" w:rsidRPr="00C80EC8" w:rsidRDefault="004F5745" w:rsidP="006F68BE">
            <w:pPr>
              <w:jc w:val="center"/>
              <w:cnfStyle w:val="000000100000"/>
              <w:rPr>
                <w:lang w:eastAsia="pl-PL"/>
              </w:rPr>
            </w:pPr>
            <w:r w:rsidRPr="00C80EC8">
              <w:rPr>
                <w:lang w:eastAsia="pl-PL"/>
              </w:rPr>
              <w:t>474,9</w:t>
            </w:r>
          </w:p>
        </w:tc>
      </w:tr>
      <w:tr w:rsidR="004F5745" w:rsidRPr="00C80EC8" w:rsidTr="004E3043">
        <w:trPr>
          <w:trHeight w:val="510"/>
          <w:jc w:val="center"/>
        </w:trPr>
        <w:tc>
          <w:tcPr>
            <w:cnfStyle w:val="001000000000"/>
            <w:tcW w:w="2443" w:type="dxa"/>
            <w:vMerge/>
            <w:hideMark/>
          </w:tcPr>
          <w:p w:rsidR="004F5745" w:rsidRPr="00C80EC8" w:rsidRDefault="004F5745" w:rsidP="006F68BE">
            <w:pPr>
              <w:jc w:val="center"/>
              <w:rPr>
                <w:lang w:eastAsia="pl-PL"/>
              </w:rPr>
            </w:pPr>
          </w:p>
        </w:tc>
        <w:tc>
          <w:tcPr>
            <w:tcW w:w="2079" w:type="dxa"/>
            <w:noWrap/>
            <w:hideMark/>
          </w:tcPr>
          <w:p w:rsidR="004F5745" w:rsidRPr="00C80EC8" w:rsidRDefault="004F5745" w:rsidP="006F68BE">
            <w:pPr>
              <w:jc w:val="center"/>
              <w:cnfStyle w:val="000000000000"/>
              <w:rPr>
                <w:i/>
                <w:sz w:val="20"/>
                <w:szCs w:val="20"/>
                <w:lang w:eastAsia="pl-PL"/>
              </w:rPr>
            </w:pPr>
            <w:r w:rsidRPr="00C80EC8">
              <w:rPr>
                <w:i/>
                <w:sz w:val="20"/>
                <w:szCs w:val="20"/>
                <w:lang w:eastAsia="pl-PL"/>
              </w:rPr>
              <w:t>USD/GJ</w:t>
            </w:r>
          </w:p>
        </w:tc>
        <w:tc>
          <w:tcPr>
            <w:tcW w:w="960" w:type="dxa"/>
            <w:noWrap/>
            <w:hideMark/>
          </w:tcPr>
          <w:p w:rsidR="004F5745" w:rsidRPr="00C80EC8" w:rsidRDefault="004F5745" w:rsidP="006F68BE">
            <w:pPr>
              <w:jc w:val="center"/>
              <w:cnfStyle w:val="000000000000"/>
              <w:rPr>
                <w:lang w:eastAsia="pl-PL"/>
              </w:rPr>
            </w:pPr>
            <w:r w:rsidRPr="00C80EC8">
              <w:rPr>
                <w:lang w:eastAsia="pl-PL"/>
              </w:rPr>
              <w:t>11,1</w:t>
            </w:r>
          </w:p>
        </w:tc>
        <w:tc>
          <w:tcPr>
            <w:tcW w:w="960" w:type="dxa"/>
            <w:noWrap/>
            <w:hideMark/>
          </w:tcPr>
          <w:p w:rsidR="004F5745" w:rsidRPr="00C80EC8" w:rsidRDefault="004F5745" w:rsidP="006F68BE">
            <w:pPr>
              <w:jc w:val="center"/>
              <w:cnfStyle w:val="000000000000"/>
              <w:rPr>
                <w:lang w:eastAsia="pl-PL"/>
              </w:rPr>
            </w:pPr>
            <w:r w:rsidRPr="00C80EC8">
              <w:rPr>
                <w:lang w:eastAsia="pl-PL"/>
              </w:rPr>
              <w:t>12,2</w:t>
            </w:r>
          </w:p>
        </w:tc>
        <w:tc>
          <w:tcPr>
            <w:tcW w:w="960" w:type="dxa"/>
            <w:noWrap/>
            <w:hideMark/>
          </w:tcPr>
          <w:p w:rsidR="004F5745" w:rsidRPr="00C80EC8" w:rsidRDefault="004F5745" w:rsidP="006F68BE">
            <w:pPr>
              <w:jc w:val="center"/>
              <w:cnfStyle w:val="000000000000"/>
              <w:rPr>
                <w:lang w:eastAsia="pl-PL"/>
              </w:rPr>
            </w:pPr>
            <w:r w:rsidRPr="00C80EC8">
              <w:rPr>
                <w:lang w:eastAsia="pl-PL"/>
              </w:rPr>
              <w:t>12,9</w:t>
            </w:r>
          </w:p>
        </w:tc>
        <w:tc>
          <w:tcPr>
            <w:tcW w:w="960" w:type="dxa"/>
            <w:noWrap/>
            <w:hideMark/>
          </w:tcPr>
          <w:p w:rsidR="004F5745" w:rsidRPr="00C80EC8" w:rsidRDefault="004F5745" w:rsidP="006F68BE">
            <w:pPr>
              <w:jc w:val="center"/>
              <w:cnfStyle w:val="000000000000"/>
              <w:rPr>
                <w:lang w:eastAsia="pl-PL"/>
              </w:rPr>
            </w:pPr>
            <w:r w:rsidRPr="00C80EC8">
              <w:rPr>
                <w:lang w:eastAsia="pl-PL"/>
              </w:rPr>
              <w:t>13,5</w:t>
            </w:r>
          </w:p>
        </w:tc>
      </w:tr>
      <w:tr w:rsidR="004F5745" w:rsidRPr="00C80EC8" w:rsidTr="004E3043">
        <w:trPr>
          <w:cnfStyle w:val="000000100000"/>
          <w:trHeight w:val="510"/>
          <w:jc w:val="center"/>
        </w:trPr>
        <w:tc>
          <w:tcPr>
            <w:cnfStyle w:val="001000000000"/>
            <w:tcW w:w="2443" w:type="dxa"/>
            <w:noWrap/>
            <w:hideMark/>
          </w:tcPr>
          <w:p w:rsidR="004F5745" w:rsidRPr="00C80EC8" w:rsidRDefault="004F5745" w:rsidP="006F68BE">
            <w:pPr>
              <w:jc w:val="center"/>
              <w:rPr>
                <w:lang w:eastAsia="pl-PL"/>
              </w:rPr>
            </w:pPr>
            <w:r w:rsidRPr="00C80EC8">
              <w:rPr>
                <w:lang w:eastAsia="pl-PL"/>
              </w:rPr>
              <w:t>Ropa naftowa</w:t>
            </w:r>
          </w:p>
        </w:tc>
        <w:tc>
          <w:tcPr>
            <w:tcW w:w="2079" w:type="dxa"/>
            <w:noWrap/>
            <w:hideMark/>
          </w:tcPr>
          <w:p w:rsidR="004F5745" w:rsidRPr="00C80EC8" w:rsidRDefault="004F5745" w:rsidP="006F68BE">
            <w:pPr>
              <w:jc w:val="center"/>
              <w:cnfStyle w:val="000000100000"/>
              <w:rPr>
                <w:i/>
                <w:sz w:val="20"/>
                <w:szCs w:val="20"/>
                <w:lang w:eastAsia="pl-PL"/>
              </w:rPr>
            </w:pPr>
            <w:r w:rsidRPr="00C80EC8">
              <w:rPr>
                <w:i/>
                <w:sz w:val="20"/>
                <w:szCs w:val="20"/>
                <w:lang w:eastAsia="pl-PL"/>
              </w:rPr>
              <w:t>USD/</w:t>
            </w:r>
            <w:proofErr w:type="spellStart"/>
            <w:r w:rsidRPr="00C80EC8">
              <w:rPr>
                <w:i/>
                <w:sz w:val="20"/>
                <w:szCs w:val="20"/>
                <w:lang w:eastAsia="pl-PL"/>
              </w:rPr>
              <w:t>boe</w:t>
            </w:r>
            <w:proofErr w:type="spellEnd"/>
          </w:p>
        </w:tc>
        <w:tc>
          <w:tcPr>
            <w:tcW w:w="960" w:type="dxa"/>
            <w:noWrap/>
            <w:hideMark/>
          </w:tcPr>
          <w:p w:rsidR="004F5745" w:rsidRPr="00C80EC8" w:rsidRDefault="004F5745" w:rsidP="006F68BE">
            <w:pPr>
              <w:jc w:val="center"/>
              <w:cnfStyle w:val="000000100000"/>
              <w:rPr>
                <w:lang w:eastAsia="pl-PL"/>
              </w:rPr>
            </w:pPr>
            <w:r w:rsidRPr="00C80EC8">
              <w:rPr>
                <w:lang w:eastAsia="pl-PL"/>
              </w:rPr>
              <w:t>90,4</w:t>
            </w:r>
          </w:p>
        </w:tc>
        <w:tc>
          <w:tcPr>
            <w:tcW w:w="960" w:type="dxa"/>
            <w:noWrap/>
            <w:hideMark/>
          </w:tcPr>
          <w:p w:rsidR="004F5745" w:rsidRPr="00C80EC8" w:rsidRDefault="004F5745" w:rsidP="006F68BE">
            <w:pPr>
              <w:jc w:val="center"/>
              <w:cnfStyle w:val="000000100000"/>
              <w:rPr>
                <w:lang w:eastAsia="pl-PL"/>
              </w:rPr>
            </w:pPr>
            <w:r w:rsidRPr="00C80EC8">
              <w:rPr>
                <w:lang w:eastAsia="pl-PL"/>
              </w:rPr>
              <w:t>99,0</w:t>
            </w:r>
          </w:p>
        </w:tc>
        <w:tc>
          <w:tcPr>
            <w:tcW w:w="960" w:type="dxa"/>
            <w:noWrap/>
            <w:hideMark/>
          </w:tcPr>
          <w:p w:rsidR="004F5745" w:rsidRPr="00C80EC8" w:rsidRDefault="004F5745" w:rsidP="006F68BE">
            <w:pPr>
              <w:jc w:val="center"/>
              <w:cnfStyle w:val="000000100000"/>
              <w:rPr>
                <w:lang w:eastAsia="pl-PL"/>
              </w:rPr>
            </w:pPr>
            <w:r w:rsidRPr="00C80EC8">
              <w:rPr>
                <w:lang w:eastAsia="pl-PL"/>
              </w:rPr>
              <w:t>105,0</w:t>
            </w:r>
          </w:p>
        </w:tc>
        <w:tc>
          <w:tcPr>
            <w:tcW w:w="960" w:type="dxa"/>
            <w:noWrap/>
            <w:hideMark/>
          </w:tcPr>
          <w:p w:rsidR="004F5745" w:rsidRPr="00C80EC8" w:rsidRDefault="004F5745" w:rsidP="006F68BE">
            <w:pPr>
              <w:jc w:val="center"/>
              <w:cnfStyle w:val="000000100000"/>
              <w:rPr>
                <w:lang w:eastAsia="pl-PL"/>
              </w:rPr>
            </w:pPr>
            <w:r w:rsidRPr="00C80EC8">
              <w:rPr>
                <w:lang w:eastAsia="pl-PL"/>
              </w:rPr>
              <w:t>110,0</w:t>
            </w:r>
          </w:p>
        </w:tc>
      </w:tr>
    </w:tbl>
    <w:p w:rsidR="004F5745" w:rsidRPr="008A1F5F" w:rsidRDefault="004F5745" w:rsidP="004F5745">
      <w:pPr>
        <w:rPr>
          <w:rFonts w:ascii="Trebuchet MS" w:hAnsi="Trebuchet MS"/>
        </w:rPr>
      </w:pPr>
    </w:p>
    <w:p w:rsidR="007863F0" w:rsidRDefault="004F5745" w:rsidP="007863F0">
      <w:pPr>
        <w:keepNext/>
        <w:ind w:left="850"/>
        <w:jc w:val="center"/>
      </w:pPr>
      <w:r w:rsidRPr="008A1F5F">
        <w:rPr>
          <w:rFonts w:ascii="Trebuchet MS" w:hAnsi="Trebuchet MS"/>
          <w:noProof/>
          <w:lang w:eastAsia="pl-PL"/>
        </w:rPr>
        <w:lastRenderedPageBreak/>
        <w:drawing>
          <wp:inline distT="0" distB="0" distL="0" distR="0">
            <wp:extent cx="4914900" cy="2371725"/>
            <wp:effectExtent l="19050" t="0" r="0" b="0"/>
            <wp:docPr id="50" name="Wykres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4F5745" w:rsidRPr="007863F0" w:rsidRDefault="004E3043" w:rsidP="004E3043">
      <w:pPr>
        <w:pStyle w:val="Legenda"/>
        <w:jc w:val="right"/>
        <w:rPr>
          <w:rFonts w:ascii="Trebuchet MS" w:hAnsi="Trebuchet MS"/>
          <w:color w:val="auto"/>
        </w:rPr>
      </w:pPr>
      <w:bookmarkStart w:id="304" w:name="_Toc427675438"/>
      <w:r>
        <w:rPr>
          <w:color w:val="auto"/>
        </w:rPr>
        <w:t>W</w:t>
      </w:r>
      <w:r w:rsidR="007863F0" w:rsidRPr="007863F0">
        <w:rPr>
          <w:color w:val="auto"/>
        </w:rPr>
        <w:t xml:space="preserve">ykres </w:t>
      </w:r>
      <w:r w:rsidR="00A93FFF" w:rsidRPr="007863F0">
        <w:rPr>
          <w:color w:val="auto"/>
        </w:rPr>
        <w:fldChar w:fldCharType="begin"/>
      </w:r>
      <w:r w:rsidR="007863F0" w:rsidRPr="007863F0">
        <w:rPr>
          <w:color w:val="auto"/>
        </w:rPr>
        <w:instrText xml:space="preserve"> SEQ wykres \* ARABIC </w:instrText>
      </w:r>
      <w:r w:rsidR="00A93FFF" w:rsidRPr="007863F0">
        <w:rPr>
          <w:color w:val="auto"/>
        </w:rPr>
        <w:fldChar w:fldCharType="separate"/>
      </w:r>
      <w:r w:rsidR="00871648">
        <w:rPr>
          <w:noProof/>
          <w:color w:val="auto"/>
        </w:rPr>
        <w:t>17</w:t>
      </w:r>
      <w:r w:rsidR="00A93FFF" w:rsidRPr="007863F0">
        <w:rPr>
          <w:color w:val="auto"/>
        </w:rPr>
        <w:fldChar w:fldCharType="end"/>
      </w:r>
      <w:r w:rsidR="007863F0" w:rsidRPr="007863F0">
        <w:rPr>
          <w:color w:val="auto"/>
        </w:rPr>
        <w:t>.Prognoza cen paliw w imporcie do Polski (ceny stałe w USD roku 2009)</w:t>
      </w:r>
      <w:bookmarkEnd w:id="304"/>
    </w:p>
    <w:p w:rsidR="004F5745" w:rsidRPr="00C80EC8" w:rsidRDefault="004F5745" w:rsidP="009751D9">
      <w:pPr>
        <w:spacing w:line="360" w:lineRule="auto"/>
      </w:pPr>
      <w:r w:rsidRPr="00C80EC8">
        <w:t xml:space="preserve">Prognozuje się, że do 2030 roku ceny ropy naftowej oraz gazu będą wzrastały, natomiast ceny węgla wzrosną nieznacznie. Założono, że średnie ceny tych paliw będą zgodne </w:t>
      </w:r>
      <w:r w:rsidRPr="00C80EC8">
        <w:br/>
        <w:t xml:space="preserve">z prognozowanymi cenami na rynku europejskim. </w:t>
      </w:r>
    </w:p>
    <w:p w:rsidR="004F5745" w:rsidRPr="00C80EC8" w:rsidRDefault="004F5745" w:rsidP="009751D9">
      <w:pPr>
        <w:spacing w:line="360" w:lineRule="auto"/>
      </w:pPr>
      <w:r w:rsidRPr="00C80EC8">
        <w:t>W oparciu o dokument „</w:t>
      </w:r>
      <w:r w:rsidRPr="00C80EC8">
        <w:rPr>
          <w:i/>
        </w:rPr>
        <w:t xml:space="preserve">Prognoza Zapotrzebowania na Paliwa i Energię do 2030 roku” </w:t>
      </w:r>
      <w:r w:rsidRPr="00C80EC8">
        <w:t xml:space="preserve">będący załącznikiem do Polityki energetycznej Polski do 2030 roku zestawiono dane dotyczące obecnych cen nośników energii oraz na lata 2020 i 2030. </w:t>
      </w:r>
    </w:p>
    <w:p w:rsidR="004F5745" w:rsidRPr="008A1F5F" w:rsidRDefault="004F5745" w:rsidP="009751D9">
      <w:pPr>
        <w:spacing w:line="360" w:lineRule="auto"/>
        <w:rPr>
          <w:rFonts w:ascii="Trebuchet MS" w:hAnsi="Trebuchet MS"/>
        </w:rPr>
      </w:pPr>
      <w:r w:rsidRPr="00C80EC8">
        <w:t>Przewiduje się istotny wzrost cen energii elektrycznej i ciepła sieciowego spowodowany wzrostem wymagań ekologicznych, zwłaszcza opłat za uprawnienia do emisji CO</w:t>
      </w:r>
      <w:r w:rsidRPr="00C80EC8">
        <w:rPr>
          <w:vertAlign w:val="subscript"/>
        </w:rPr>
        <w:t>2</w:t>
      </w:r>
      <w:r w:rsidRPr="00C80EC8">
        <w:br/>
        <w:t xml:space="preserve">i wzrostem cen nośników energii pierwotnej. Ceny zestawiono w poniższych tabelach (Tabela </w:t>
      </w:r>
      <w:r w:rsidR="007863F0">
        <w:t>11</w:t>
      </w:r>
      <w:r w:rsidRPr="00C80EC8">
        <w:t xml:space="preserve">; Tabela </w:t>
      </w:r>
      <w:r w:rsidR="007863F0">
        <w:t>12</w:t>
      </w:r>
      <w:r w:rsidRPr="00C80EC8">
        <w:t>).</w:t>
      </w:r>
    </w:p>
    <w:p w:rsidR="007863F0" w:rsidRPr="007863F0" w:rsidRDefault="007863F0" w:rsidP="007863F0">
      <w:pPr>
        <w:pStyle w:val="Legenda"/>
        <w:keepNext/>
        <w:rPr>
          <w:color w:val="auto"/>
        </w:rPr>
      </w:pPr>
      <w:bookmarkStart w:id="305" w:name="_Toc427675357"/>
      <w:r w:rsidRPr="007863F0">
        <w:rPr>
          <w:color w:val="auto"/>
        </w:rPr>
        <w:t xml:space="preserve">Tabela </w:t>
      </w:r>
      <w:r w:rsidR="00A93FFF" w:rsidRPr="007863F0">
        <w:rPr>
          <w:color w:val="auto"/>
        </w:rPr>
        <w:fldChar w:fldCharType="begin"/>
      </w:r>
      <w:r w:rsidRPr="007863F0">
        <w:rPr>
          <w:color w:val="auto"/>
        </w:rPr>
        <w:instrText xml:space="preserve"> SEQ Tabela \* ARABIC </w:instrText>
      </w:r>
      <w:r w:rsidR="00A93FFF" w:rsidRPr="007863F0">
        <w:rPr>
          <w:color w:val="auto"/>
        </w:rPr>
        <w:fldChar w:fldCharType="separate"/>
      </w:r>
      <w:r w:rsidR="00871648">
        <w:rPr>
          <w:noProof/>
          <w:color w:val="auto"/>
        </w:rPr>
        <w:t>11</w:t>
      </w:r>
      <w:r w:rsidR="00A93FFF" w:rsidRPr="007863F0">
        <w:rPr>
          <w:color w:val="auto"/>
        </w:rPr>
        <w:fldChar w:fldCharType="end"/>
      </w:r>
      <w:r w:rsidRPr="007863F0">
        <w:rPr>
          <w:color w:val="auto"/>
        </w:rPr>
        <w:t>. ceny energii elektrycznej dla kraju na lata 2010, 2020 oraz 2030 [zł/</w:t>
      </w:r>
      <w:proofErr w:type="spellStart"/>
      <w:r w:rsidRPr="007863F0">
        <w:rPr>
          <w:color w:val="auto"/>
        </w:rPr>
        <w:t>MWh</w:t>
      </w:r>
      <w:proofErr w:type="spellEnd"/>
      <w:r w:rsidRPr="007863F0">
        <w:rPr>
          <w:color w:val="auto"/>
        </w:rPr>
        <w:t>] (źródło: załącznik Polityki Energetycznej Polski do 2030 roku, 2007 r.)</w:t>
      </w:r>
      <w:bookmarkEnd w:id="305"/>
    </w:p>
    <w:tbl>
      <w:tblPr>
        <w:tblStyle w:val="Jasnalistaakcent5"/>
        <w:tblW w:w="5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44"/>
        <w:gridCol w:w="1140"/>
        <w:gridCol w:w="1660"/>
        <w:gridCol w:w="1320"/>
      </w:tblGrid>
      <w:tr w:rsidR="004F5745" w:rsidRPr="00C80EC8" w:rsidTr="004E3043">
        <w:trPr>
          <w:cnfStyle w:val="100000000000"/>
          <w:trHeight w:val="567"/>
          <w:jc w:val="center"/>
        </w:trPr>
        <w:tc>
          <w:tcPr>
            <w:cnfStyle w:val="001000000000"/>
            <w:tcW w:w="1844" w:type="dxa"/>
            <w:noWrap/>
          </w:tcPr>
          <w:p w:rsidR="004F5745" w:rsidRPr="00C80EC8" w:rsidRDefault="004F5745" w:rsidP="006F68BE">
            <w:pPr>
              <w:jc w:val="center"/>
              <w:rPr>
                <w:rFonts w:eastAsia="MS Gothic" w:cs="Arial"/>
                <w:b w:val="0"/>
                <w:bCs w:val="0"/>
                <w:color w:val="000000"/>
                <w:lang w:eastAsia="pl-PL"/>
              </w:rPr>
            </w:pPr>
          </w:p>
        </w:tc>
        <w:tc>
          <w:tcPr>
            <w:tcW w:w="1140" w:type="dxa"/>
            <w:noWrap/>
          </w:tcPr>
          <w:p w:rsidR="004F5745" w:rsidRPr="00C80EC8" w:rsidRDefault="004F5745" w:rsidP="006F68BE">
            <w:pPr>
              <w:jc w:val="center"/>
              <w:cnfStyle w:val="100000000000"/>
              <w:rPr>
                <w:rFonts w:eastAsia="MS Gothic" w:cs="Arial"/>
                <w:bCs w:val="0"/>
                <w:color w:val="000000"/>
                <w:lang w:eastAsia="pl-PL"/>
              </w:rPr>
            </w:pPr>
            <w:r w:rsidRPr="00C80EC8">
              <w:rPr>
                <w:rFonts w:eastAsia="MS Gothic" w:cs="Arial"/>
                <w:color w:val="000000"/>
                <w:lang w:eastAsia="pl-PL"/>
              </w:rPr>
              <w:t>2010</w:t>
            </w:r>
          </w:p>
        </w:tc>
        <w:tc>
          <w:tcPr>
            <w:tcW w:w="1660" w:type="dxa"/>
            <w:noWrap/>
          </w:tcPr>
          <w:p w:rsidR="004F5745" w:rsidRPr="00C80EC8" w:rsidRDefault="004F5745" w:rsidP="006F68BE">
            <w:pPr>
              <w:jc w:val="center"/>
              <w:cnfStyle w:val="100000000000"/>
              <w:rPr>
                <w:rFonts w:eastAsia="MS Gothic" w:cs="Arial"/>
                <w:bCs w:val="0"/>
                <w:color w:val="000000"/>
                <w:lang w:eastAsia="pl-PL"/>
              </w:rPr>
            </w:pPr>
            <w:r w:rsidRPr="00C80EC8">
              <w:rPr>
                <w:rFonts w:eastAsia="MS Gothic" w:cs="Arial"/>
                <w:color w:val="000000"/>
                <w:lang w:eastAsia="pl-PL"/>
              </w:rPr>
              <w:t>2020</w:t>
            </w:r>
          </w:p>
        </w:tc>
        <w:tc>
          <w:tcPr>
            <w:tcW w:w="1320" w:type="dxa"/>
            <w:noWrap/>
          </w:tcPr>
          <w:p w:rsidR="004F5745" w:rsidRPr="00C80EC8" w:rsidRDefault="004F5745" w:rsidP="006F68BE">
            <w:pPr>
              <w:jc w:val="center"/>
              <w:cnfStyle w:val="100000000000"/>
              <w:rPr>
                <w:rFonts w:eastAsia="MS Gothic" w:cs="Arial"/>
                <w:bCs w:val="0"/>
                <w:color w:val="000000"/>
                <w:lang w:eastAsia="pl-PL"/>
              </w:rPr>
            </w:pPr>
            <w:r w:rsidRPr="00C80EC8">
              <w:rPr>
                <w:rFonts w:eastAsia="MS Gothic" w:cs="Arial"/>
                <w:color w:val="000000"/>
                <w:lang w:eastAsia="pl-PL"/>
              </w:rPr>
              <w:t>2030</w:t>
            </w:r>
          </w:p>
        </w:tc>
      </w:tr>
      <w:tr w:rsidR="004F5745" w:rsidRPr="00C80EC8" w:rsidTr="004E3043">
        <w:trPr>
          <w:cnfStyle w:val="000000100000"/>
          <w:trHeight w:val="567"/>
          <w:jc w:val="center"/>
        </w:trPr>
        <w:tc>
          <w:tcPr>
            <w:cnfStyle w:val="001000000000"/>
            <w:tcW w:w="1844" w:type="dxa"/>
            <w:noWrap/>
          </w:tcPr>
          <w:p w:rsidR="004F5745" w:rsidRPr="00C80EC8" w:rsidRDefault="004F5745" w:rsidP="006F68BE">
            <w:pPr>
              <w:jc w:val="center"/>
              <w:rPr>
                <w:rFonts w:eastAsia="MS Gothic" w:cs="Arial"/>
                <w:bCs w:val="0"/>
                <w:color w:val="000000"/>
                <w:lang w:eastAsia="pl-PL"/>
              </w:rPr>
            </w:pPr>
            <w:r w:rsidRPr="00C80EC8">
              <w:rPr>
                <w:rFonts w:eastAsia="MS Gothic" w:cs="Arial"/>
                <w:color w:val="000000"/>
                <w:lang w:eastAsia="pl-PL"/>
              </w:rPr>
              <w:t>Przemysł</w:t>
            </w:r>
          </w:p>
        </w:tc>
        <w:tc>
          <w:tcPr>
            <w:tcW w:w="1140" w:type="dxa"/>
            <w:noWrap/>
          </w:tcPr>
          <w:p w:rsidR="004F5745" w:rsidRPr="00C80EC8" w:rsidRDefault="004F5745" w:rsidP="006F68BE">
            <w:pPr>
              <w:jc w:val="center"/>
              <w:cnfStyle w:val="000000100000"/>
              <w:rPr>
                <w:rFonts w:cs="Arial"/>
                <w:color w:val="000000"/>
                <w:lang w:eastAsia="pl-PL"/>
              </w:rPr>
            </w:pPr>
            <w:r w:rsidRPr="00C80EC8">
              <w:rPr>
                <w:rFonts w:cs="Arial"/>
                <w:color w:val="000000"/>
                <w:lang w:eastAsia="pl-PL"/>
              </w:rPr>
              <w:t>300,9</w:t>
            </w:r>
          </w:p>
        </w:tc>
        <w:tc>
          <w:tcPr>
            <w:tcW w:w="1660" w:type="dxa"/>
            <w:noWrap/>
          </w:tcPr>
          <w:p w:rsidR="004F5745" w:rsidRPr="00C80EC8" w:rsidRDefault="004F5745" w:rsidP="006F68BE">
            <w:pPr>
              <w:jc w:val="center"/>
              <w:cnfStyle w:val="000000100000"/>
              <w:rPr>
                <w:rFonts w:cs="Arial"/>
                <w:color w:val="000000"/>
                <w:lang w:eastAsia="pl-PL"/>
              </w:rPr>
            </w:pPr>
            <w:r w:rsidRPr="00C80EC8">
              <w:rPr>
                <w:rFonts w:cs="Arial"/>
                <w:color w:val="000000"/>
                <w:lang w:eastAsia="pl-PL"/>
              </w:rPr>
              <w:t>474,2</w:t>
            </w:r>
          </w:p>
        </w:tc>
        <w:tc>
          <w:tcPr>
            <w:tcW w:w="1320" w:type="dxa"/>
            <w:noWrap/>
          </w:tcPr>
          <w:p w:rsidR="004F5745" w:rsidRPr="00C80EC8" w:rsidRDefault="004F5745" w:rsidP="006F68BE">
            <w:pPr>
              <w:jc w:val="center"/>
              <w:cnfStyle w:val="000000100000"/>
              <w:rPr>
                <w:rFonts w:cs="Arial"/>
                <w:color w:val="000000"/>
                <w:lang w:eastAsia="pl-PL"/>
              </w:rPr>
            </w:pPr>
            <w:r w:rsidRPr="00C80EC8">
              <w:rPr>
                <w:rFonts w:cs="Arial"/>
                <w:color w:val="000000"/>
                <w:lang w:eastAsia="pl-PL"/>
              </w:rPr>
              <w:t>483,3</w:t>
            </w:r>
          </w:p>
        </w:tc>
      </w:tr>
      <w:tr w:rsidR="004F5745" w:rsidRPr="00C80EC8" w:rsidTr="004E3043">
        <w:trPr>
          <w:trHeight w:val="567"/>
          <w:jc w:val="center"/>
        </w:trPr>
        <w:tc>
          <w:tcPr>
            <w:cnfStyle w:val="001000000000"/>
            <w:tcW w:w="1844" w:type="dxa"/>
          </w:tcPr>
          <w:p w:rsidR="004F5745" w:rsidRPr="00C80EC8" w:rsidRDefault="004F5745" w:rsidP="006F68BE">
            <w:pPr>
              <w:jc w:val="center"/>
              <w:rPr>
                <w:rFonts w:eastAsia="MS Gothic" w:cs="Arial"/>
                <w:bCs w:val="0"/>
                <w:color w:val="000000"/>
                <w:lang w:eastAsia="pl-PL"/>
              </w:rPr>
            </w:pPr>
            <w:r w:rsidRPr="00C80EC8">
              <w:rPr>
                <w:rFonts w:eastAsia="MS Gothic" w:cs="Arial"/>
                <w:color w:val="000000"/>
                <w:lang w:eastAsia="pl-PL"/>
              </w:rPr>
              <w:t>Gospodarstwa domowe</w:t>
            </w:r>
          </w:p>
        </w:tc>
        <w:tc>
          <w:tcPr>
            <w:tcW w:w="1140" w:type="dxa"/>
            <w:noWrap/>
          </w:tcPr>
          <w:p w:rsidR="004F5745" w:rsidRPr="00C80EC8" w:rsidRDefault="004F5745" w:rsidP="006F68BE">
            <w:pPr>
              <w:jc w:val="center"/>
              <w:cnfStyle w:val="000000000000"/>
              <w:rPr>
                <w:rFonts w:cs="Arial"/>
                <w:color w:val="000000"/>
                <w:lang w:eastAsia="pl-PL"/>
              </w:rPr>
            </w:pPr>
            <w:r w:rsidRPr="00C80EC8">
              <w:rPr>
                <w:rFonts w:cs="Arial"/>
                <w:color w:val="000000"/>
                <w:lang w:eastAsia="pl-PL"/>
              </w:rPr>
              <w:t>422,7</w:t>
            </w:r>
          </w:p>
        </w:tc>
        <w:tc>
          <w:tcPr>
            <w:tcW w:w="1660" w:type="dxa"/>
            <w:noWrap/>
          </w:tcPr>
          <w:p w:rsidR="004F5745" w:rsidRPr="00C80EC8" w:rsidRDefault="004F5745" w:rsidP="006F68BE">
            <w:pPr>
              <w:jc w:val="center"/>
              <w:cnfStyle w:val="000000000000"/>
              <w:rPr>
                <w:rFonts w:cs="Arial"/>
                <w:color w:val="000000"/>
                <w:lang w:eastAsia="pl-PL"/>
              </w:rPr>
            </w:pPr>
            <w:r w:rsidRPr="00C80EC8">
              <w:rPr>
                <w:rFonts w:cs="Arial"/>
                <w:color w:val="000000"/>
                <w:lang w:eastAsia="pl-PL"/>
              </w:rPr>
              <w:t>605,1</w:t>
            </w:r>
          </w:p>
        </w:tc>
        <w:tc>
          <w:tcPr>
            <w:tcW w:w="1320" w:type="dxa"/>
            <w:noWrap/>
          </w:tcPr>
          <w:p w:rsidR="004F5745" w:rsidRPr="00C80EC8" w:rsidRDefault="004F5745" w:rsidP="006F68BE">
            <w:pPr>
              <w:jc w:val="center"/>
              <w:cnfStyle w:val="000000000000"/>
              <w:rPr>
                <w:rFonts w:cs="Arial"/>
                <w:color w:val="000000"/>
                <w:lang w:eastAsia="pl-PL"/>
              </w:rPr>
            </w:pPr>
            <w:r w:rsidRPr="00C80EC8">
              <w:rPr>
                <w:rFonts w:cs="Arial"/>
                <w:color w:val="000000"/>
                <w:lang w:eastAsia="pl-PL"/>
              </w:rPr>
              <w:t>611,5</w:t>
            </w:r>
          </w:p>
        </w:tc>
      </w:tr>
    </w:tbl>
    <w:p w:rsidR="003501B1" w:rsidRPr="008A1F5F" w:rsidRDefault="003501B1" w:rsidP="004F5745">
      <w:pPr>
        <w:spacing w:after="0" w:line="240" w:lineRule="auto"/>
        <w:jc w:val="left"/>
        <w:rPr>
          <w:rFonts w:ascii="Trebuchet MS" w:hAnsi="Trebuchet MS"/>
          <w:b/>
          <w:bCs/>
          <w:sz w:val="18"/>
          <w:szCs w:val="18"/>
        </w:rPr>
      </w:pPr>
      <w:bookmarkStart w:id="306" w:name="_Ref416873920"/>
      <w:bookmarkStart w:id="307" w:name="_Toc400358592"/>
      <w:bookmarkStart w:id="308" w:name="_Toc407699600"/>
      <w:bookmarkStart w:id="309" w:name="_Toc409439021"/>
    </w:p>
    <w:p w:rsidR="007863F0" w:rsidRPr="007863F0" w:rsidRDefault="007863F0" w:rsidP="007863F0">
      <w:pPr>
        <w:pStyle w:val="Legenda"/>
        <w:keepNext/>
        <w:rPr>
          <w:color w:val="auto"/>
        </w:rPr>
      </w:pPr>
      <w:bookmarkStart w:id="310" w:name="_Toc427675358"/>
      <w:bookmarkEnd w:id="306"/>
      <w:bookmarkEnd w:id="307"/>
      <w:bookmarkEnd w:id="308"/>
      <w:bookmarkEnd w:id="309"/>
      <w:r w:rsidRPr="007863F0">
        <w:rPr>
          <w:color w:val="auto"/>
        </w:rPr>
        <w:t xml:space="preserve">Tabela </w:t>
      </w:r>
      <w:r w:rsidR="00A93FFF" w:rsidRPr="007863F0">
        <w:rPr>
          <w:color w:val="auto"/>
        </w:rPr>
        <w:fldChar w:fldCharType="begin"/>
      </w:r>
      <w:r w:rsidRPr="007863F0">
        <w:rPr>
          <w:color w:val="auto"/>
        </w:rPr>
        <w:instrText xml:space="preserve"> SEQ Tabela \* ARABIC </w:instrText>
      </w:r>
      <w:r w:rsidR="00A93FFF" w:rsidRPr="007863F0">
        <w:rPr>
          <w:color w:val="auto"/>
        </w:rPr>
        <w:fldChar w:fldCharType="separate"/>
      </w:r>
      <w:r w:rsidR="00871648">
        <w:rPr>
          <w:noProof/>
          <w:color w:val="auto"/>
        </w:rPr>
        <w:t>12</w:t>
      </w:r>
      <w:r w:rsidR="00A93FFF" w:rsidRPr="007863F0">
        <w:rPr>
          <w:color w:val="auto"/>
        </w:rPr>
        <w:fldChar w:fldCharType="end"/>
      </w:r>
      <w:r w:rsidRPr="007863F0">
        <w:rPr>
          <w:color w:val="auto"/>
        </w:rPr>
        <w:t>. Prognozowane ceny ciepła sieciowego dla kraju na lata 2010, 2020 oraz 2030 [zł/GJ] (źródło: załącznik Polityki Energetycznej Polski do 2030 roku, 2007 r.)</w:t>
      </w:r>
      <w:bookmarkEnd w:id="310"/>
    </w:p>
    <w:tbl>
      <w:tblPr>
        <w:tblStyle w:val="Jasnalistaakcent5"/>
        <w:tblW w:w="5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44"/>
        <w:gridCol w:w="1140"/>
        <w:gridCol w:w="1660"/>
        <w:gridCol w:w="1320"/>
      </w:tblGrid>
      <w:tr w:rsidR="004F5745" w:rsidRPr="00C80EC8" w:rsidTr="004E3043">
        <w:trPr>
          <w:cnfStyle w:val="100000000000"/>
          <w:trHeight w:val="567"/>
          <w:jc w:val="center"/>
        </w:trPr>
        <w:tc>
          <w:tcPr>
            <w:cnfStyle w:val="001000000000"/>
            <w:tcW w:w="1844" w:type="dxa"/>
            <w:noWrap/>
          </w:tcPr>
          <w:p w:rsidR="004F5745" w:rsidRPr="00C80EC8" w:rsidRDefault="004F5745" w:rsidP="006F68BE">
            <w:pPr>
              <w:jc w:val="center"/>
              <w:rPr>
                <w:rFonts w:eastAsia="MS Gothic" w:cs="Arial"/>
                <w:b w:val="0"/>
                <w:bCs w:val="0"/>
                <w:lang w:eastAsia="pl-PL"/>
              </w:rPr>
            </w:pPr>
          </w:p>
        </w:tc>
        <w:tc>
          <w:tcPr>
            <w:tcW w:w="1140" w:type="dxa"/>
            <w:noWrap/>
          </w:tcPr>
          <w:p w:rsidR="004F5745" w:rsidRPr="00C80EC8" w:rsidRDefault="004F5745" w:rsidP="006F68BE">
            <w:pPr>
              <w:jc w:val="center"/>
              <w:cnfStyle w:val="100000000000"/>
              <w:rPr>
                <w:rFonts w:eastAsia="MS Gothic" w:cs="Arial"/>
                <w:bCs w:val="0"/>
                <w:lang w:eastAsia="pl-PL"/>
              </w:rPr>
            </w:pPr>
            <w:r w:rsidRPr="00C80EC8">
              <w:rPr>
                <w:rFonts w:eastAsia="MS Gothic" w:cs="Arial"/>
                <w:lang w:eastAsia="pl-PL"/>
              </w:rPr>
              <w:t>2010</w:t>
            </w:r>
          </w:p>
        </w:tc>
        <w:tc>
          <w:tcPr>
            <w:tcW w:w="1660" w:type="dxa"/>
            <w:noWrap/>
          </w:tcPr>
          <w:p w:rsidR="004F5745" w:rsidRPr="00C80EC8" w:rsidRDefault="004F5745" w:rsidP="006F68BE">
            <w:pPr>
              <w:jc w:val="center"/>
              <w:cnfStyle w:val="100000000000"/>
              <w:rPr>
                <w:rFonts w:eastAsia="MS Gothic" w:cs="Arial"/>
                <w:bCs w:val="0"/>
                <w:lang w:eastAsia="pl-PL"/>
              </w:rPr>
            </w:pPr>
            <w:r w:rsidRPr="00C80EC8">
              <w:rPr>
                <w:rFonts w:eastAsia="MS Gothic" w:cs="Arial"/>
                <w:lang w:eastAsia="pl-PL"/>
              </w:rPr>
              <w:t>2020</w:t>
            </w:r>
          </w:p>
        </w:tc>
        <w:tc>
          <w:tcPr>
            <w:tcW w:w="1320" w:type="dxa"/>
            <w:noWrap/>
          </w:tcPr>
          <w:p w:rsidR="004F5745" w:rsidRPr="00C80EC8" w:rsidRDefault="004F5745" w:rsidP="006F68BE">
            <w:pPr>
              <w:jc w:val="center"/>
              <w:cnfStyle w:val="100000000000"/>
              <w:rPr>
                <w:rFonts w:eastAsia="MS Gothic" w:cs="Arial"/>
                <w:bCs w:val="0"/>
                <w:lang w:eastAsia="pl-PL"/>
              </w:rPr>
            </w:pPr>
            <w:r w:rsidRPr="00C80EC8">
              <w:rPr>
                <w:rFonts w:eastAsia="MS Gothic" w:cs="Arial"/>
                <w:lang w:eastAsia="pl-PL"/>
              </w:rPr>
              <w:t>2030</w:t>
            </w:r>
          </w:p>
        </w:tc>
      </w:tr>
      <w:tr w:rsidR="004F5745" w:rsidRPr="00C80EC8" w:rsidTr="004E3043">
        <w:trPr>
          <w:cnfStyle w:val="000000100000"/>
          <w:trHeight w:val="567"/>
          <w:jc w:val="center"/>
        </w:trPr>
        <w:tc>
          <w:tcPr>
            <w:cnfStyle w:val="001000000000"/>
            <w:tcW w:w="1844" w:type="dxa"/>
            <w:noWrap/>
          </w:tcPr>
          <w:p w:rsidR="004F5745" w:rsidRPr="00C80EC8" w:rsidRDefault="004F5745" w:rsidP="006F68BE">
            <w:pPr>
              <w:jc w:val="center"/>
              <w:rPr>
                <w:rFonts w:eastAsia="MS Gothic" w:cs="Arial"/>
                <w:bCs w:val="0"/>
                <w:lang w:eastAsia="pl-PL"/>
              </w:rPr>
            </w:pPr>
            <w:r w:rsidRPr="00C80EC8">
              <w:rPr>
                <w:rFonts w:eastAsia="MS Gothic" w:cs="Arial"/>
                <w:lang w:eastAsia="pl-PL"/>
              </w:rPr>
              <w:t>Przemysł</w:t>
            </w:r>
          </w:p>
        </w:tc>
        <w:tc>
          <w:tcPr>
            <w:tcW w:w="1140" w:type="dxa"/>
            <w:noWrap/>
          </w:tcPr>
          <w:p w:rsidR="004F5745" w:rsidRPr="00C80EC8" w:rsidRDefault="004F5745" w:rsidP="006F68BE">
            <w:pPr>
              <w:jc w:val="center"/>
              <w:cnfStyle w:val="000000100000"/>
              <w:rPr>
                <w:rFonts w:cs="Arial"/>
                <w:lang w:eastAsia="pl-PL"/>
              </w:rPr>
            </w:pPr>
            <w:r w:rsidRPr="00C80EC8">
              <w:rPr>
                <w:rFonts w:cs="Arial"/>
                <w:lang w:eastAsia="pl-PL"/>
              </w:rPr>
              <w:t>30,3</w:t>
            </w:r>
          </w:p>
        </w:tc>
        <w:tc>
          <w:tcPr>
            <w:tcW w:w="1660" w:type="dxa"/>
            <w:noWrap/>
          </w:tcPr>
          <w:p w:rsidR="004F5745" w:rsidRPr="00C80EC8" w:rsidRDefault="004F5745" w:rsidP="006F68BE">
            <w:pPr>
              <w:jc w:val="center"/>
              <w:cnfStyle w:val="000000100000"/>
              <w:rPr>
                <w:rFonts w:cs="Arial"/>
                <w:lang w:eastAsia="pl-PL"/>
              </w:rPr>
            </w:pPr>
            <w:r w:rsidRPr="00C80EC8">
              <w:rPr>
                <w:rFonts w:cs="Arial"/>
                <w:lang w:eastAsia="pl-PL"/>
              </w:rPr>
              <w:t>36,4</w:t>
            </w:r>
          </w:p>
        </w:tc>
        <w:tc>
          <w:tcPr>
            <w:tcW w:w="1320" w:type="dxa"/>
            <w:noWrap/>
          </w:tcPr>
          <w:p w:rsidR="004F5745" w:rsidRPr="00C80EC8" w:rsidRDefault="004F5745" w:rsidP="006F68BE">
            <w:pPr>
              <w:jc w:val="center"/>
              <w:cnfStyle w:val="000000100000"/>
              <w:rPr>
                <w:rFonts w:cs="Arial"/>
                <w:lang w:eastAsia="pl-PL"/>
              </w:rPr>
            </w:pPr>
            <w:r w:rsidRPr="00C80EC8">
              <w:rPr>
                <w:rFonts w:cs="Arial"/>
                <w:lang w:eastAsia="pl-PL"/>
              </w:rPr>
              <w:t>42,3</w:t>
            </w:r>
          </w:p>
        </w:tc>
      </w:tr>
      <w:tr w:rsidR="004F5745" w:rsidRPr="00C80EC8" w:rsidTr="004E3043">
        <w:trPr>
          <w:trHeight w:val="567"/>
          <w:jc w:val="center"/>
        </w:trPr>
        <w:tc>
          <w:tcPr>
            <w:cnfStyle w:val="001000000000"/>
            <w:tcW w:w="1844" w:type="dxa"/>
          </w:tcPr>
          <w:p w:rsidR="004F5745" w:rsidRPr="00C80EC8" w:rsidRDefault="004F5745" w:rsidP="006F68BE">
            <w:pPr>
              <w:jc w:val="center"/>
              <w:rPr>
                <w:rFonts w:eastAsia="MS Gothic" w:cs="Arial"/>
                <w:bCs w:val="0"/>
                <w:lang w:eastAsia="pl-PL"/>
              </w:rPr>
            </w:pPr>
            <w:r w:rsidRPr="00C80EC8">
              <w:rPr>
                <w:rFonts w:eastAsia="MS Gothic" w:cs="Arial"/>
                <w:lang w:eastAsia="pl-PL"/>
              </w:rPr>
              <w:t>Gospodarstwa domowe</w:t>
            </w:r>
          </w:p>
        </w:tc>
        <w:tc>
          <w:tcPr>
            <w:tcW w:w="1140" w:type="dxa"/>
            <w:noWrap/>
          </w:tcPr>
          <w:p w:rsidR="004F5745" w:rsidRPr="00C80EC8" w:rsidRDefault="004F5745" w:rsidP="006F68BE">
            <w:pPr>
              <w:jc w:val="center"/>
              <w:cnfStyle w:val="000000000000"/>
              <w:rPr>
                <w:rFonts w:cs="Arial"/>
                <w:lang w:eastAsia="pl-PL"/>
              </w:rPr>
            </w:pPr>
            <w:r w:rsidRPr="00C80EC8">
              <w:rPr>
                <w:rFonts w:cs="Arial"/>
                <w:lang w:eastAsia="pl-PL"/>
              </w:rPr>
              <w:t>36,5</w:t>
            </w:r>
          </w:p>
        </w:tc>
        <w:tc>
          <w:tcPr>
            <w:tcW w:w="1660" w:type="dxa"/>
            <w:noWrap/>
          </w:tcPr>
          <w:p w:rsidR="004F5745" w:rsidRPr="00C80EC8" w:rsidRDefault="004F5745" w:rsidP="006F68BE">
            <w:pPr>
              <w:jc w:val="center"/>
              <w:cnfStyle w:val="000000000000"/>
              <w:rPr>
                <w:rFonts w:cs="Arial"/>
                <w:lang w:eastAsia="pl-PL"/>
              </w:rPr>
            </w:pPr>
            <w:r w:rsidRPr="00C80EC8">
              <w:rPr>
                <w:rFonts w:cs="Arial"/>
                <w:lang w:eastAsia="pl-PL"/>
              </w:rPr>
              <w:t>44,6</w:t>
            </w:r>
          </w:p>
        </w:tc>
        <w:tc>
          <w:tcPr>
            <w:tcW w:w="1320" w:type="dxa"/>
            <w:noWrap/>
          </w:tcPr>
          <w:p w:rsidR="004F5745" w:rsidRPr="00C80EC8" w:rsidRDefault="004F5745" w:rsidP="006F68BE">
            <w:pPr>
              <w:jc w:val="center"/>
              <w:cnfStyle w:val="000000000000"/>
              <w:rPr>
                <w:rFonts w:cs="Arial"/>
                <w:lang w:eastAsia="pl-PL"/>
              </w:rPr>
            </w:pPr>
            <w:r w:rsidRPr="00C80EC8">
              <w:rPr>
                <w:rFonts w:cs="Arial"/>
                <w:lang w:eastAsia="pl-PL"/>
              </w:rPr>
              <w:t>52,1</w:t>
            </w:r>
          </w:p>
        </w:tc>
      </w:tr>
    </w:tbl>
    <w:p w:rsidR="009751D9" w:rsidRPr="009751D9" w:rsidRDefault="009751D9" w:rsidP="009751D9">
      <w:pPr>
        <w:rPr>
          <w:lang w:eastAsia="pl-PL"/>
        </w:rPr>
      </w:pPr>
    </w:p>
    <w:p w:rsidR="009751D9" w:rsidRPr="007863F0" w:rsidRDefault="009751D9" w:rsidP="007863F0">
      <w:pPr>
        <w:pStyle w:val="Nagwek2"/>
      </w:pPr>
      <w:bookmarkStart w:id="311" w:name="_Toc427566542"/>
      <w:bookmarkStart w:id="312" w:name="_Toc427675583"/>
      <w:bookmarkStart w:id="313" w:name="_Toc427734983"/>
      <w:r w:rsidRPr="007863F0">
        <w:lastRenderedPageBreak/>
        <w:t xml:space="preserve">Taryfa dla </w:t>
      </w:r>
      <w:bookmarkEnd w:id="311"/>
      <w:r w:rsidR="003501B1" w:rsidRPr="007863F0">
        <w:t>energii elektrycznej</w:t>
      </w:r>
      <w:bookmarkEnd w:id="312"/>
      <w:bookmarkEnd w:id="313"/>
    </w:p>
    <w:p w:rsidR="004E3043" w:rsidRDefault="003501B1" w:rsidP="003501B1">
      <w:pPr>
        <w:spacing w:line="360" w:lineRule="auto"/>
      </w:pPr>
      <w:r w:rsidRPr="00FB6190">
        <w:t xml:space="preserve">Odbiorcy za dostarczoną energię elektryczną i świadczone usługi przesyłowe rozliczani są według cen i stawek opłat właściwych dla grup taryfowych. Podział odbiorców na grupy taryfowe dokonywany jest ze szczególnym uwzględnieniem takich kryteriów jak: poziom napięcia sieci w miejscu dostarczenia energii, wartości mocy umownej, systemu rozliczeń, zużycia rocznego energii i liczby stref czasowych. Kryteria te zostały określone </w:t>
      </w:r>
      <w:r>
        <w:br/>
      </w:r>
      <w:r w:rsidRPr="00FB6190">
        <w:t xml:space="preserve">w Rozporządzeniu Ministra Gospodarki, Pracy i Polityki Społecznej z dnia </w:t>
      </w:r>
      <w:r w:rsidRPr="00FB6190">
        <w:br/>
        <w:t xml:space="preserve">2 lipca 2007r. (Dz. U. z 2007 r. Nr 128, poz. 895) w sprawie szczegółowych zasad kształtowania i kalkulacji taryf oraz rozliczeń w obrocie energią elektryczną. </w:t>
      </w:r>
    </w:p>
    <w:p w:rsidR="003501B1" w:rsidRPr="004E3043" w:rsidRDefault="003501B1" w:rsidP="003501B1">
      <w:pPr>
        <w:spacing w:line="360" w:lineRule="auto"/>
        <w:rPr>
          <w:u w:val="single"/>
        </w:rPr>
      </w:pPr>
      <w:r w:rsidRPr="004E3043">
        <w:rPr>
          <w:u w:val="single"/>
        </w:rPr>
        <w:t>Uproszczony opis poszczególnych grup taryfowy</w:t>
      </w:r>
      <w:r w:rsidR="004E3043" w:rsidRPr="004E3043">
        <w:rPr>
          <w:u w:val="single"/>
        </w:rPr>
        <w:t>ch został przedstawiony poniżej:</w:t>
      </w:r>
    </w:p>
    <w:p w:rsidR="006F3333" w:rsidRPr="006F3333" w:rsidRDefault="006F3333" w:rsidP="006F3333">
      <w:pPr>
        <w:spacing w:line="360" w:lineRule="auto"/>
      </w:pPr>
      <w:r w:rsidRPr="006F3333">
        <w:t>A - to stawki opłat dla największych odbiorców energii elektrycznej takich jak huty, kopalnie, stocznie oraz duże fabryki.</w:t>
      </w:r>
    </w:p>
    <w:p w:rsidR="006F3333" w:rsidRPr="006F3333" w:rsidRDefault="006F3333" w:rsidP="006F3333">
      <w:pPr>
        <w:spacing w:line="360" w:lineRule="auto"/>
      </w:pPr>
      <w:r w:rsidRPr="006F3333">
        <w:t>B - to stawki opłat za energię dla dużych przedsiębiorstw przemysłowych, fabryk, szpitali, centrów handlowych, stacji paliw, barów, obiektów rekreacyjno-rozrywkowych. </w:t>
      </w:r>
    </w:p>
    <w:p w:rsidR="006F3333" w:rsidRPr="006F3333" w:rsidRDefault="006F3333" w:rsidP="006F3333">
      <w:pPr>
        <w:spacing w:line="360" w:lineRule="auto"/>
      </w:pPr>
      <w:r w:rsidRPr="006F3333">
        <w:t>C - to stawki opłat za energię dla takich odbiorców jak banki, sklepy, przychodnie zdrowia, punkty handlowo-usługowe, oświetlenie ulic miast i wsi.</w:t>
      </w:r>
    </w:p>
    <w:p w:rsidR="006F3333" w:rsidRPr="006F3333" w:rsidRDefault="006F3333" w:rsidP="006F3333">
      <w:pPr>
        <w:spacing w:line="360" w:lineRule="auto"/>
      </w:pPr>
      <w:r w:rsidRPr="006F3333">
        <w:t xml:space="preserve">R - to stawki opłat stosowane w rozliczeniach z odbiorcami bez układów pomiarowo-rozliczeniowych (liczników). Ma zastosowanie dla zorganizowania tymczasowego miejsca poboru prądu np. plan filmowy, cyklinowanie podłóg, iluminacji obiektów.  </w:t>
      </w:r>
    </w:p>
    <w:p w:rsidR="006F3333" w:rsidRPr="007863F0" w:rsidRDefault="006F3333" w:rsidP="006F3333">
      <w:pPr>
        <w:spacing w:line="360" w:lineRule="auto"/>
      </w:pPr>
      <w:r w:rsidRPr="006F3333">
        <w:t xml:space="preserve">G - to stawki opłat stosowane dla odbiorców zużywających energię na potrzeby gospodarstw domowych i związanych z nimi pomieszczeń piwnicznych, strychów czy garaży.   Taryfa G ma także zastosowanie wobec lokali mających charakter zbiorowego zamieszkania: domy akademickie, internaty, plebanie, kanonie, wikariaty, rezydencje biskupie, koszary wojskowe, domy opieki społecznej, hospicja, domy dziecka – oraz pomieszczeń związanych służących potrzebom socjalno-bytowym. </w:t>
      </w:r>
    </w:p>
    <w:p w:rsidR="006F3333" w:rsidRDefault="006F3333" w:rsidP="006F3333">
      <w:pPr>
        <w:spacing w:after="0" w:line="360" w:lineRule="auto"/>
      </w:pPr>
      <w:r w:rsidRPr="006F3333">
        <w:t xml:space="preserve">W poniższych tabelach przedstawiono aktualne stawki opłat za energie elektryczną </w:t>
      </w:r>
      <w:r w:rsidRPr="006F3333">
        <w:br/>
        <w:t>z podziałem na grupy odbiorców (źródło: Taryfa dla usług dystrybucji energii elektrycznej PGE Dystrybucja S.A.).</w:t>
      </w:r>
    </w:p>
    <w:p w:rsidR="006F3333" w:rsidRPr="00213DC4" w:rsidRDefault="006F3333" w:rsidP="00213DC4">
      <w:pPr>
        <w:spacing w:line="360" w:lineRule="auto"/>
        <w:rPr>
          <w:u w:val="single"/>
        </w:rPr>
      </w:pPr>
      <w:r>
        <w:rPr>
          <w:u w:val="single"/>
        </w:rPr>
        <w:t>Na terenie Gminy Strawczyn, nie ma odbiorców rozliczanych w grupie taryfowej A</w:t>
      </w:r>
    </w:p>
    <w:p w:rsidR="006F3333" w:rsidRPr="00213DC4" w:rsidRDefault="006F3333" w:rsidP="006F3333">
      <w:pPr>
        <w:pStyle w:val="Legenda"/>
        <w:keepNext/>
        <w:rPr>
          <w:color w:val="auto"/>
        </w:rPr>
      </w:pPr>
      <w:bookmarkStart w:id="314" w:name="_Toc427675359"/>
      <w:r w:rsidRPr="00213DC4">
        <w:rPr>
          <w:color w:val="auto"/>
        </w:rPr>
        <w:t xml:space="preserve">Tabela </w:t>
      </w:r>
      <w:r w:rsidR="00A93FFF" w:rsidRPr="00213DC4">
        <w:rPr>
          <w:color w:val="auto"/>
        </w:rPr>
        <w:fldChar w:fldCharType="begin"/>
      </w:r>
      <w:r w:rsidRPr="00213DC4">
        <w:rPr>
          <w:color w:val="auto"/>
        </w:rPr>
        <w:instrText xml:space="preserve"> SEQ Tabela \* ARABIC </w:instrText>
      </w:r>
      <w:r w:rsidR="00A93FFF" w:rsidRPr="00213DC4">
        <w:rPr>
          <w:color w:val="auto"/>
        </w:rPr>
        <w:fldChar w:fldCharType="separate"/>
      </w:r>
      <w:r w:rsidR="00871648">
        <w:rPr>
          <w:noProof/>
          <w:color w:val="auto"/>
        </w:rPr>
        <w:t>13</w:t>
      </w:r>
      <w:r w:rsidR="00A93FFF" w:rsidRPr="00213DC4">
        <w:rPr>
          <w:color w:val="auto"/>
        </w:rPr>
        <w:fldChar w:fldCharType="end"/>
      </w:r>
      <w:r w:rsidRPr="00213DC4">
        <w:rPr>
          <w:color w:val="auto"/>
        </w:rPr>
        <w:t>. Grupa taryfowa B dla roku 2010 oraz 2014</w:t>
      </w:r>
      <w:bookmarkEnd w:id="314"/>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03"/>
        <w:gridCol w:w="2303"/>
        <w:gridCol w:w="2303"/>
      </w:tblGrid>
      <w:tr w:rsidR="006F3333" w:rsidTr="004E3043">
        <w:trPr>
          <w:cnfStyle w:val="100000000000"/>
          <w:jc w:val="center"/>
        </w:trPr>
        <w:tc>
          <w:tcPr>
            <w:cnfStyle w:val="001000000000"/>
            <w:tcW w:w="2303" w:type="dxa"/>
          </w:tcPr>
          <w:p w:rsidR="006F3333" w:rsidRDefault="006F3333" w:rsidP="006F3333">
            <w:pPr>
              <w:spacing w:line="360" w:lineRule="auto"/>
            </w:pPr>
            <w:r>
              <w:t>Jednostka</w:t>
            </w:r>
          </w:p>
        </w:tc>
        <w:tc>
          <w:tcPr>
            <w:tcW w:w="4606" w:type="dxa"/>
            <w:gridSpan w:val="2"/>
          </w:tcPr>
          <w:p w:rsidR="006F3333" w:rsidRDefault="006F3333" w:rsidP="006F3333">
            <w:pPr>
              <w:tabs>
                <w:tab w:val="left" w:pos="2295"/>
              </w:tabs>
              <w:spacing w:line="360" w:lineRule="auto"/>
              <w:jc w:val="center"/>
              <w:cnfStyle w:val="100000000000"/>
            </w:pPr>
            <w:r>
              <w:t>Grupa taryfowa B</w:t>
            </w:r>
          </w:p>
        </w:tc>
      </w:tr>
      <w:tr w:rsidR="006F3333" w:rsidTr="004E3043">
        <w:trPr>
          <w:cnfStyle w:val="000000100000"/>
          <w:jc w:val="center"/>
        </w:trPr>
        <w:tc>
          <w:tcPr>
            <w:cnfStyle w:val="001000000000"/>
            <w:tcW w:w="2303" w:type="dxa"/>
          </w:tcPr>
          <w:p w:rsidR="006F3333" w:rsidRDefault="006F3333" w:rsidP="006F3333">
            <w:pPr>
              <w:spacing w:line="360" w:lineRule="auto"/>
            </w:pPr>
          </w:p>
        </w:tc>
        <w:tc>
          <w:tcPr>
            <w:tcW w:w="2303" w:type="dxa"/>
          </w:tcPr>
          <w:p w:rsidR="006F3333" w:rsidRDefault="006F3333" w:rsidP="006F3333">
            <w:pPr>
              <w:spacing w:line="360" w:lineRule="auto"/>
              <w:cnfStyle w:val="000000100000"/>
            </w:pPr>
            <w:r>
              <w:t>2010</w:t>
            </w:r>
          </w:p>
        </w:tc>
        <w:tc>
          <w:tcPr>
            <w:tcW w:w="2303" w:type="dxa"/>
          </w:tcPr>
          <w:p w:rsidR="006F3333" w:rsidRDefault="006F3333" w:rsidP="006F3333">
            <w:pPr>
              <w:spacing w:line="360" w:lineRule="auto"/>
              <w:cnfStyle w:val="000000100000"/>
            </w:pPr>
            <w:r>
              <w:t>2014</w:t>
            </w:r>
          </w:p>
        </w:tc>
      </w:tr>
      <w:tr w:rsidR="006F3333" w:rsidTr="004E3043">
        <w:trPr>
          <w:jc w:val="center"/>
        </w:trPr>
        <w:tc>
          <w:tcPr>
            <w:cnfStyle w:val="001000000000"/>
            <w:tcW w:w="2303" w:type="dxa"/>
          </w:tcPr>
          <w:p w:rsidR="006F3333" w:rsidRDefault="006F3333" w:rsidP="006F3333">
            <w:pPr>
              <w:spacing w:line="360" w:lineRule="auto"/>
            </w:pPr>
            <w:proofErr w:type="spellStart"/>
            <w:r>
              <w:t>MWh</w:t>
            </w:r>
            <w:proofErr w:type="spellEnd"/>
          </w:p>
        </w:tc>
        <w:tc>
          <w:tcPr>
            <w:tcW w:w="2303" w:type="dxa"/>
          </w:tcPr>
          <w:p w:rsidR="006F3333" w:rsidRDefault="006F3333" w:rsidP="006F3333">
            <w:pPr>
              <w:spacing w:line="360" w:lineRule="auto"/>
              <w:cnfStyle w:val="000000000000"/>
            </w:pPr>
            <w:r>
              <w:t>639,855</w:t>
            </w:r>
          </w:p>
        </w:tc>
        <w:tc>
          <w:tcPr>
            <w:tcW w:w="2303" w:type="dxa"/>
          </w:tcPr>
          <w:p w:rsidR="006F3333" w:rsidRDefault="006F3333" w:rsidP="006F3333">
            <w:pPr>
              <w:spacing w:line="360" w:lineRule="auto"/>
              <w:cnfStyle w:val="000000000000"/>
            </w:pPr>
            <w:r>
              <w:t>515,081</w:t>
            </w:r>
          </w:p>
        </w:tc>
      </w:tr>
    </w:tbl>
    <w:p w:rsidR="00213DC4" w:rsidRDefault="00213DC4" w:rsidP="006F3333">
      <w:pPr>
        <w:spacing w:after="0" w:line="360" w:lineRule="auto"/>
      </w:pPr>
    </w:p>
    <w:p w:rsidR="00213DC4" w:rsidRPr="00213DC4" w:rsidRDefault="00213DC4" w:rsidP="00213DC4">
      <w:pPr>
        <w:pStyle w:val="Legenda"/>
        <w:keepNext/>
        <w:rPr>
          <w:color w:val="auto"/>
        </w:rPr>
      </w:pPr>
      <w:bookmarkStart w:id="315" w:name="_Toc427675360"/>
      <w:r w:rsidRPr="00213DC4">
        <w:rPr>
          <w:color w:val="auto"/>
        </w:rPr>
        <w:lastRenderedPageBreak/>
        <w:t xml:space="preserve">Tabela </w:t>
      </w:r>
      <w:r w:rsidR="00A93FFF" w:rsidRPr="00213DC4">
        <w:rPr>
          <w:color w:val="auto"/>
        </w:rPr>
        <w:fldChar w:fldCharType="begin"/>
      </w:r>
      <w:r w:rsidRPr="00213DC4">
        <w:rPr>
          <w:color w:val="auto"/>
        </w:rPr>
        <w:instrText xml:space="preserve"> SEQ Tabela \* ARABIC </w:instrText>
      </w:r>
      <w:r w:rsidR="00A93FFF" w:rsidRPr="00213DC4">
        <w:rPr>
          <w:color w:val="auto"/>
        </w:rPr>
        <w:fldChar w:fldCharType="separate"/>
      </w:r>
      <w:r w:rsidR="00871648">
        <w:rPr>
          <w:noProof/>
          <w:color w:val="auto"/>
        </w:rPr>
        <w:t>14</w:t>
      </w:r>
      <w:r w:rsidR="00A93FFF" w:rsidRPr="00213DC4">
        <w:rPr>
          <w:color w:val="auto"/>
        </w:rPr>
        <w:fldChar w:fldCharType="end"/>
      </w:r>
      <w:r w:rsidRPr="00213DC4">
        <w:rPr>
          <w:color w:val="auto"/>
        </w:rPr>
        <w:t>. Grupa taryfowa C dla roku 2010 oraz 2014</w:t>
      </w:r>
      <w:bookmarkEnd w:id="315"/>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03"/>
        <w:gridCol w:w="2303"/>
        <w:gridCol w:w="2303"/>
      </w:tblGrid>
      <w:tr w:rsidR="00213DC4" w:rsidTr="004E3043">
        <w:trPr>
          <w:cnfStyle w:val="100000000000"/>
          <w:jc w:val="center"/>
        </w:trPr>
        <w:tc>
          <w:tcPr>
            <w:cnfStyle w:val="001000000000"/>
            <w:tcW w:w="2303" w:type="dxa"/>
          </w:tcPr>
          <w:p w:rsidR="00213DC4" w:rsidRDefault="00213DC4" w:rsidP="007A3AD0">
            <w:pPr>
              <w:spacing w:line="360" w:lineRule="auto"/>
            </w:pPr>
            <w:r>
              <w:t>Jednostka</w:t>
            </w:r>
          </w:p>
        </w:tc>
        <w:tc>
          <w:tcPr>
            <w:tcW w:w="4606" w:type="dxa"/>
            <w:gridSpan w:val="2"/>
          </w:tcPr>
          <w:p w:rsidR="00213DC4" w:rsidRDefault="00213DC4" w:rsidP="007A3AD0">
            <w:pPr>
              <w:tabs>
                <w:tab w:val="left" w:pos="2295"/>
              </w:tabs>
              <w:spacing w:line="360" w:lineRule="auto"/>
              <w:jc w:val="center"/>
              <w:cnfStyle w:val="100000000000"/>
            </w:pPr>
            <w:r>
              <w:t>Grupa taryfowa C</w:t>
            </w:r>
          </w:p>
        </w:tc>
      </w:tr>
      <w:tr w:rsidR="00213DC4" w:rsidTr="004E3043">
        <w:trPr>
          <w:cnfStyle w:val="000000100000"/>
          <w:jc w:val="center"/>
        </w:trPr>
        <w:tc>
          <w:tcPr>
            <w:cnfStyle w:val="001000000000"/>
            <w:tcW w:w="2303" w:type="dxa"/>
          </w:tcPr>
          <w:p w:rsidR="00213DC4" w:rsidRDefault="00213DC4" w:rsidP="007A3AD0">
            <w:pPr>
              <w:spacing w:line="360" w:lineRule="auto"/>
            </w:pPr>
          </w:p>
        </w:tc>
        <w:tc>
          <w:tcPr>
            <w:tcW w:w="2303" w:type="dxa"/>
          </w:tcPr>
          <w:p w:rsidR="00213DC4" w:rsidRDefault="00213DC4" w:rsidP="007A3AD0">
            <w:pPr>
              <w:spacing w:line="360" w:lineRule="auto"/>
              <w:cnfStyle w:val="000000100000"/>
            </w:pPr>
            <w:r>
              <w:t>2010</w:t>
            </w:r>
          </w:p>
        </w:tc>
        <w:tc>
          <w:tcPr>
            <w:tcW w:w="2303" w:type="dxa"/>
          </w:tcPr>
          <w:p w:rsidR="00213DC4" w:rsidRDefault="00213DC4" w:rsidP="007A3AD0">
            <w:pPr>
              <w:spacing w:line="360" w:lineRule="auto"/>
              <w:cnfStyle w:val="000000100000"/>
            </w:pPr>
            <w:r>
              <w:t>2014</w:t>
            </w:r>
          </w:p>
        </w:tc>
      </w:tr>
      <w:tr w:rsidR="00213DC4" w:rsidTr="004E3043">
        <w:trPr>
          <w:jc w:val="center"/>
        </w:trPr>
        <w:tc>
          <w:tcPr>
            <w:cnfStyle w:val="001000000000"/>
            <w:tcW w:w="2303" w:type="dxa"/>
          </w:tcPr>
          <w:p w:rsidR="00213DC4" w:rsidRDefault="00213DC4" w:rsidP="007A3AD0">
            <w:pPr>
              <w:spacing w:line="360" w:lineRule="auto"/>
            </w:pPr>
            <w:proofErr w:type="spellStart"/>
            <w:r>
              <w:t>MWh</w:t>
            </w:r>
            <w:proofErr w:type="spellEnd"/>
          </w:p>
        </w:tc>
        <w:tc>
          <w:tcPr>
            <w:tcW w:w="2303" w:type="dxa"/>
          </w:tcPr>
          <w:p w:rsidR="00213DC4" w:rsidRDefault="00213DC4" w:rsidP="007A3AD0">
            <w:pPr>
              <w:spacing w:line="360" w:lineRule="auto"/>
              <w:cnfStyle w:val="000000000000"/>
            </w:pPr>
            <w:r>
              <w:t>11,442</w:t>
            </w:r>
          </w:p>
        </w:tc>
        <w:tc>
          <w:tcPr>
            <w:tcW w:w="2303" w:type="dxa"/>
          </w:tcPr>
          <w:p w:rsidR="00213DC4" w:rsidRDefault="00213DC4" w:rsidP="007A3AD0">
            <w:pPr>
              <w:spacing w:line="360" w:lineRule="auto"/>
              <w:cnfStyle w:val="000000000000"/>
            </w:pPr>
            <w:r>
              <w:t>12,379</w:t>
            </w:r>
          </w:p>
        </w:tc>
      </w:tr>
    </w:tbl>
    <w:p w:rsidR="00213DC4" w:rsidRDefault="00213DC4" w:rsidP="006F3333">
      <w:pPr>
        <w:spacing w:after="0" w:line="360" w:lineRule="auto"/>
      </w:pPr>
    </w:p>
    <w:p w:rsidR="00213DC4" w:rsidRPr="00213DC4" w:rsidRDefault="00213DC4" w:rsidP="00213DC4">
      <w:pPr>
        <w:pStyle w:val="Legenda"/>
        <w:keepNext/>
        <w:rPr>
          <w:color w:val="auto"/>
        </w:rPr>
      </w:pPr>
      <w:bookmarkStart w:id="316" w:name="_Toc427675361"/>
      <w:r w:rsidRPr="00213DC4">
        <w:rPr>
          <w:color w:val="auto"/>
        </w:rPr>
        <w:t xml:space="preserve">Tabela </w:t>
      </w:r>
      <w:r w:rsidR="00A93FFF" w:rsidRPr="00213DC4">
        <w:rPr>
          <w:color w:val="auto"/>
        </w:rPr>
        <w:fldChar w:fldCharType="begin"/>
      </w:r>
      <w:r w:rsidRPr="00213DC4">
        <w:rPr>
          <w:color w:val="auto"/>
        </w:rPr>
        <w:instrText xml:space="preserve"> SEQ Tabela \* ARABIC </w:instrText>
      </w:r>
      <w:r w:rsidR="00A93FFF" w:rsidRPr="00213DC4">
        <w:rPr>
          <w:color w:val="auto"/>
        </w:rPr>
        <w:fldChar w:fldCharType="separate"/>
      </w:r>
      <w:r w:rsidR="00871648">
        <w:rPr>
          <w:noProof/>
          <w:color w:val="auto"/>
        </w:rPr>
        <w:t>15</w:t>
      </w:r>
      <w:r w:rsidR="00A93FFF" w:rsidRPr="00213DC4">
        <w:rPr>
          <w:color w:val="auto"/>
        </w:rPr>
        <w:fldChar w:fldCharType="end"/>
      </w:r>
      <w:r w:rsidRPr="00213DC4">
        <w:rPr>
          <w:color w:val="auto"/>
        </w:rPr>
        <w:t>. Grupa taryfowa G dla roku 2010 oraz 2014</w:t>
      </w:r>
      <w:bookmarkEnd w:id="316"/>
    </w:p>
    <w:tbl>
      <w:tblPr>
        <w:tblStyle w:val="Jasnalistaakcent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03"/>
        <w:gridCol w:w="2303"/>
        <w:gridCol w:w="2303"/>
      </w:tblGrid>
      <w:tr w:rsidR="00213DC4" w:rsidTr="004E3043">
        <w:trPr>
          <w:cnfStyle w:val="100000000000"/>
          <w:jc w:val="center"/>
        </w:trPr>
        <w:tc>
          <w:tcPr>
            <w:cnfStyle w:val="001000000000"/>
            <w:tcW w:w="2303" w:type="dxa"/>
          </w:tcPr>
          <w:p w:rsidR="00213DC4" w:rsidRDefault="00213DC4" w:rsidP="007A3AD0">
            <w:pPr>
              <w:spacing w:line="360" w:lineRule="auto"/>
            </w:pPr>
            <w:r>
              <w:t>Jednostka</w:t>
            </w:r>
          </w:p>
        </w:tc>
        <w:tc>
          <w:tcPr>
            <w:tcW w:w="4606" w:type="dxa"/>
            <w:gridSpan w:val="2"/>
          </w:tcPr>
          <w:p w:rsidR="00213DC4" w:rsidRDefault="00213DC4" w:rsidP="007A3AD0">
            <w:pPr>
              <w:tabs>
                <w:tab w:val="left" w:pos="2295"/>
              </w:tabs>
              <w:spacing w:line="360" w:lineRule="auto"/>
              <w:jc w:val="center"/>
              <w:cnfStyle w:val="100000000000"/>
            </w:pPr>
            <w:r>
              <w:t>Grupa taryfowa G</w:t>
            </w:r>
          </w:p>
        </w:tc>
      </w:tr>
      <w:tr w:rsidR="00213DC4" w:rsidTr="004E3043">
        <w:trPr>
          <w:cnfStyle w:val="000000100000"/>
          <w:jc w:val="center"/>
        </w:trPr>
        <w:tc>
          <w:tcPr>
            <w:cnfStyle w:val="001000000000"/>
            <w:tcW w:w="2303" w:type="dxa"/>
          </w:tcPr>
          <w:p w:rsidR="00213DC4" w:rsidRDefault="00213DC4" w:rsidP="007A3AD0">
            <w:pPr>
              <w:spacing w:line="360" w:lineRule="auto"/>
            </w:pPr>
          </w:p>
        </w:tc>
        <w:tc>
          <w:tcPr>
            <w:tcW w:w="2303" w:type="dxa"/>
          </w:tcPr>
          <w:p w:rsidR="00213DC4" w:rsidRDefault="00213DC4" w:rsidP="007A3AD0">
            <w:pPr>
              <w:spacing w:line="360" w:lineRule="auto"/>
              <w:cnfStyle w:val="000000100000"/>
            </w:pPr>
            <w:r>
              <w:t>2010</w:t>
            </w:r>
          </w:p>
        </w:tc>
        <w:tc>
          <w:tcPr>
            <w:tcW w:w="2303" w:type="dxa"/>
          </w:tcPr>
          <w:p w:rsidR="00213DC4" w:rsidRDefault="00213DC4" w:rsidP="007A3AD0">
            <w:pPr>
              <w:spacing w:line="360" w:lineRule="auto"/>
              <w:cnfStyle w:val="000000100000"/>
            </w:pPr>
            <w:r>
              <w:t>2014</w:t>
            </w:r>
          </w:p>
        </w:tc>
      </w:tr>
      <w:tr w:rsidR="00213DC4" w:rsidTr="004E3043">
        <w:trPr>
          <w:jc w:val="center"/>
        </w:trPr>
        <w:tc>
          <w:tcPr>
            <w:cnfStyle w:val="001000000000"/>
            <w:tcW w:w="2303" w:type="dxa"/>
          </w:tcPr>
          <w:p w:rsidR="00213DC4" w:rsidRDefault="00213DC4" w:rsidP="007A3AD0">
            <w:pPr>
              <w:spacing w:line="360" w:lineRule="auto"/>
            </w:pPr>
            <w:proofErr w:type="spellStart"/>
            <w:r>
              <w:t>MWh</w:t>
            </w:r>
            <w:proofErr w:type="spellEnd"/>
          </w:p>
        </w:tc>
        <w:tc>
          <w:tcPr>
            <w:tcW w:w="2303" w:type="dxa"/>
          </w:tcPr>
          <w:p w:rsidR="00213DC4" w:rsidRDefault="00213DC4" w:rsidP="007A3AD0">
            <w:pPr>
              <w:spacing w:line="360" w:lineRule="auto"/>
              <w:cnfStyle w:val="000000000000"/>
            </w:pPr>
            <w:r>
              <w:t>1,894</w:t>
            </w:r>
          </w:p>
        </w:tc>
        <w:tc>
          <w:tcPr>
            <w:tcW w:w="2303" w:type="dxa"/>
          </w:tcPr>
          <w:p w:rsidR="00213DC4" w:rsidRDefault="00213DC4" w:rsidP="007A3AD0">
            <w:pPr>
              <w:spacing w:line="360" w:lineRule="auto"/>
              <w:cnfStyle w:val="000000000000"/>
            </w:pPr>
            <w:r>
              <w:t>2,004</w:t>
            </w:r>
          </w:p>
        </w:tc>
      </w:tr>
    </w:tbl>
    <w:p w:rsidR="009751D9" w:rsidRDefault="009751D9" w:rsidP="009751D9">
      <w:pPr>
        <w:rPr>
          <w:lang w:eastAsia="pl-PL"/>
        </w:rPr>
      </w:pPr>
    </w:p>
    <w:p w:rsidR="004E3043" w:rsidRDefault="004E3043" w:rsidP="009751D9">
      <w:pPr>
        <w:rPr>
          <w:lang w:eastAsia="pl-PL"/>
        </w:rPr>
      </w:pPr>
    </w:p>
    <w:p w:rsidR="004E3043" w:rsidRDefault="004E3043" w:rsidP="009751D9">
      <w:pPr>
        <w:rPr>
          <w:lang w:eastAsia="pl-PL"/>
        </w:rPr>
      </w:pPr>
    </w:p>
    <w:p w:rsidR="009751D9" w:rsidRPr="007863F0" w:rsidRDefault="009751D9" w:rsidP="007863F0">
      <w:pPr>
        <w:pStyle w:val="Nagwek1"/>
      </w:pPr>
      <w:bookmarkStart w:id="317" w:name="_Toc423587971"/>
      <w:bookmarkStart w:id="318" w:name="_Toc427566544"/>
      <w:bookmarkStart w:id="319" w:name="_Toc427675584"/>
      <w:bookmarkStart w:id="320" w:name="_Toc427734984"/>
      <w:r w:rsidRPr="007863F0">
        <w:t>Obciążenie środowiska naturalnego</w:t>
      </w:r>
      <w:bookmarkEnd w:id="317"/>
      <w:bookmarkEnd w:id="318"/>
      <w:bookmarkEnd w:id="319"/>
      <w:bookmarkEnd w:id="320"/>
    </w:p>
    <w:p w:rsidR="009751D9" w:rsidRPr="00FB6190" w:rsidRDefault="009751D9" w:rsidP="009751D9">
      <w:pPr>
        <w:spacing w:line="360" w:lineRule="auto"/>
      </w:pPr>
      <w:r w:rsidRPr="00FB6190">
        <w:t xml:space="preserve">Podstawowym źródłem zanieczyszczeń powietrza jest emisja substancji toksycznych pochodzących z procesów spalania paliw stałych, ciekłych i gazowych w celach energetycznych i technologicznych. </w:t>
      </w:r>
    </w:p>
    <w:p w:rsidR="009751D9" w:rsidRDefault="009751D9" w:rsidP="009751D9">
      <w:pPr>
        <w:spacing w:line="360" w:lineRule="auto"/>
      </w:pPr>
      <w:r w:rsidRPr="00FB6190">
        <w:t xml:space="preserve">Głównymi źródłami emisji zanieczyszczeń powietrza w procesach przemysłowych są procesy spalania paliw dla potrzeb technologicznych oraz grzewczych. Przyczynami tego są przede wszystkim przestarzałe urządzenia wytwórcze, nisko sprawne instalacje ochrony środowiska, jak też spalanie niskiej jakości paliw. Praktycznie wszystkie składniki spalin, z wyjątkiem pary wodnej są zanieczyszczeniami powietrza. Część z nich należy do składników mniej toksycznych, choć wywołujących dalekosiężne skutki klimatyczne, ale pozostała większość to bardzo szkodliwe związki bezpośrednio zagrażające człowiekowi, zwierzętom i roślinności. Podstawową masę zanieczyszczeń odprowadzanych do atmosfery stanowi dwutlenek węgla. Jednak najbardziej uciążliwe składniki spalin to przede wszystkim dwutlenek siarki, tlenki azotu, tlenek węgla i pył. W mniejszych ilościach emitowane są również chlorowodór, różnego rodzaju węglowodory aromatyczne i alifatyczne oraz związki węgla elementarnego w postaci sadzy. Wraz z pyłem emitowane są również metale ciężkie, pierwiastki promieniotwórcze </w:t>
      </w:r>
      <w:r>
        <w:br/>
      </w:r>
      <w:r w:rsidRPr="00FB6190">
        <w:t xml:space="preserve">i </w:t>
      </w:r>
      <w:proofErr w:type="spellStart"/>
      <w:r w:rsidRPr="00FB6190">
        <w:t>benzo</w:t>
      </w:r>
      <w:proofErr w:type="spellEnd"/>
      <w:r w:rsidRPr="00FB6190">
        <w:t>(a)</w:t>
      </w:r>
      <w:proofErr w:type="spellStart"/>
      <w:r w:rsidRPr="00FB6190">
        <w:t>piren</w:t>
      </w:r>
      <w:proofErr w:type="spellEnd"/>
      <w:r w:rsidRPr="00FB6190">
        <w:t xml:space="preserve">, który uznawany jest za jedną z bardziej znaczących substancji kancerogennych, co przy występujących stężeniach stwarza istotne ryzyko zdrowotne dla mieszkańców. Przy spalaniu odpadów z produkcji tworzyw sztucznych opartych na polichlorku winylu do atmosfery mogą dostawać się substancje chlorowcopochodne, a wśród nich </w:t>
      </w:r>
      <w:proofErr w:type="spellStart"/>
      <w:r w:rsidRPr="00FB6190">
        <w:t>dioksyny</w:t>
      </w:r>
      <w:proofErr w:type="spellEnd"/>
      <w:r w:rsidRPr="00FB6190">
        <w:t xml:space="preserve"> i </w:t>
      </w:r>
      <w:proofErr w:type="spellStart"/>
      <w:r w:rsidRPr="00FB6190">
        <w:t>furany</w:t>
      </w:r>
      <w:proofErr w:type="spellEnd"/>
      <w:r w:rsidRPr="00FB6190">
        <w:t xml:space="preserve">. Oprócz szkodliwego oddziaływania na środowisko naturalne i zdrowie ludzi, emisje zanieczyszczeń do powietrza powodują straty gospodarcze. Stopień </w:t>
      </w:r>
      <w:r w:rsidRPr="00FB6190">
        <w:lastRenderedPageBreak/>
        <w:t xml:space="preserve">oddziaływania na środowisko zależy od wielu czynników oraz od odporności organizmów na zanieczyszczenia. Również nie do pominięcia są czynniki klimatyczne takie jak: temperatura, nasłonecznienie, wilgotność powietrza, róża wiatrów a także inwersja temperatur. Występowanie inwersji temperatury ma niekorzystny wpływ na rozprzestrzenianie się zanieczyszczeń, gdyż zachodzi przemieszczanie się zanieczyszczeń pionowo w dół. Powoduje to niebezpieczny dla zdrowia wzrost stężenia określonych zanieczyszczeń przy powierzchni podłoża na danym terenie. W warunkach inwersji temperatury utrudniona jest dyfuzja </w:t>
      </w:r>
      <w:proofErr w:type="spellStart"/>
      <w:r w:rsidRPr="00FB6190">
        <w:t>zanieczyszczeń.Żadne</w:t>
      </w:r>
      <w:proofErr w:type="spellEnd"/>
      <w:r w:rsidRPr="00FB6190">
        <w:t xml:space="preserve"> z zanieczyszczeń nie występuje pojedynczo, w formie wyizolowanej </w:t>
      </w:r>
      <w:r>
        <w:br/>
      </w:r>
      <w:r w:rsidRPr="00FB6190">
        <w:t xml:space="preserve">i rzadko które nie podlega w powietrzu dalszym przemianom. Poza tym w działaniu zanieczyszczeń na organizmy żywe obserwuje się występowanie zjawiska synergizmu, tj. działania skojarzonego, wywołującego efekt większy, niżby to wynikało z sumy efektów poszczególnych składników. Ze źródeł emisji pozaprzemysłowych istotną rolę odgrywają źródła emisji niskiej związanej z eksploatacją </w:t>
      </w:r>
      <w:proofErr w:type="spellStart"/>
      <w:r w:rsidRPr="00FB6190">
        <w:t>niskosprawnych</w:t>
      </w:r>
      <w:proofErr w:type="spellEnd"/>
      <w:r w:rsidRPr="00FB6190">
        <w:t xml:space="preserve"> palenisk węglowych w domach mieszkalnych i użyteczności publicznej. Paliwa stałe są i jeszcze przez długi okres czasu będą podstawowym nośnikiem energii (głównie ze względów ekonomicznych), wobec czego szczególną uwagę należy zwrócić na zagadnienia ograniczenia emisji zanieczyszczeń </w:t>
      </w:r>
      <w:r>
        <w:br/>
      </w:r>
      <w:r w:rsidRPr="00FB6190">
        <w:t>w procesie ich spalania, a więc na kierunki modernizacji samych źródeł ciepła, substytucję paliw, wprowadzenie nowych technik i technologii spalania, a także sprawdzone metody oczyszczania spalin i utylizacji odpadów paleniskowych. Należy zwrócić uwagę na możliwość wykorzystania czystych źródeł energii oraz źródeł odnawialnych.</w:t>
      </w:r>
    </w:p>
    <w:p w:rsidR="00A42840" w:rsidRDefault="00A42840" w:rsidP="009751D9">
      <w:pPr>
        <w:spacing w:line="360" w:lineRule="auto"/>
      </w:pPr>
      <w:r>
        <w:t>Na podstawie prezentowanych wyników emisji zanieczyszczeń do powietrza z  ostatniego pięciolecia, dla województwa świętokrzyskiego obserwuje się generalnie trend spadkowy w wielkości m</w:t>
      </w:r>
      <w:r w:rsidR="00A803D0">
        <w:t>ierzonych emisji pyłów (tabela 9</w:t>
      </w:r>
      <w:r>
        <w:t>). Zawartość dwutlenku siarki w powietrzu wykazuje tendencję spadkową, stężenia tlenków azotu utrzymują się na zbliżonym poziomie, natomiast emisja pozostałych zanieczyszczeń gazowych (tlenek węgla i  dwutlenek węgla) charakteryzuje się nieznacznym wzrostem w latach 2008-2011</w:t>
      </w:r>
      <w:r w:rsidR="007863F0">
        <w:t xml:space="preserve"> (tabela 16</w:t>
      </w:r>
      <w:r>
        <w:t>). Ogólna emisja gazów (bez CO2 ) na przestrzeni pięciu ostatnich lat wykazuje trend spadkowy, w którym wy</w:t>
      </w:r>
      <w:r w:rsidR="00A803D0">
        <w:t>jątek stanowi rok 2011 (wykres 18</w:t>
      </w:r>
      <w:r>
        <w:t>).</w:t>
      </w:r>
    </w:p>
    <w:p w:rsidR="007863F0" w:rsidRPr="007863F0" w:rsidRDefault="007863F0" w:rsidP="007863F0">
      <w:pPr>
        <w:pStyle w:val="Legenda"/>
        <w:keepNext/>
        <w:rPr>
          <w:color w:val="auto"/>
        </w:rPr>
      </w:pPr>
      <w:bookmarkStart w:id="321" w:name="_Toc427675362"/>
      <w:r w:rsidRPr="007863F0">
        <w:rPr>
          <w:color w:val="auto"/>
        </w:rPr>
        <w:lastRenderedPageBreak/>
        <w:t xml:space="preserve">Tabela </w:t>
      </w:r>
      <w:r w:rsidR="00A93FFF" w:rsidRPr="007863F0">
        <w:rPr>
          <w:color w:val="auto"/>
        </w:rPr>
        <w:fldChar w:fldCharType="begin"/>
      </w:r>
      <w:r w:rsidRPr="007863F0">
        <w:rPr>
          <w:color w:val="auto"/>
        </w:rPr>
        <w:instrText xml:space="preserve"> SEQ Tabela \* ARABIC </w:instrText>
      </w:r>
      <w:r w:rsidR="00A93FFF" w:rsidRPr="007863F0">
        <w:rPr>
          <w:color w:val="auto"/>
        </w:rPr>
        <w:fldChar w:fldCharType="separate"/>
      </w:r>
      <w:r w:rsidR="00871648">
        <w:rPr>
          <w:noProof/>
          <w:color w:val="auto"/>
        </w:rPr>
        <w:t>16</w:t>
      </w:r>
      <w:r w:rsidR="00A93FFF" w:rsidRPr="007863F0">
        <w:rPr>
          <w:color w:val="auto"/>
        </w:rPr>
        <w:fldChar w:fldCharType="end"/>
      </w:r>
      <w:r w:rsidRPr="007863F0">
        <w:rPr>
          <w:color w:val="auto"/>
        </w:rPr>
        <w:t>. Emisja pyłów w Polsce i w województwie świętokrzyskim w latach 2008–2012                 (źródło: GUS)</w:t>
      </w:r>
      <w:bookmarkEnd w:id="321"/>
    </w:p>
    <w:p w:rsidR="00A803D0" w:rsidRDefault="00A803D0" w:rsidP="009751D9">
      <w:pPr>
        <w:spacing w:line="360" w:lineRule="auto"/>
      </w:pPr>
      <w:r>
        <w:rPr>
          <w:noProof/>
          <w:lang w:eastAsia="pl-PL"/>
        </w:rPr>
        <w:drawing>
          <wp:inline distT="0" distB="0" distL="0" distR="0">
            <wp:extent cx="5760720" cy="2678430"/>
            <wp:effectExtent l="19050" t="0" r="0" b="0"/>
            <wp:docPr id="13" name="Obraz 12" descr="tabel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1.PNG"/>
                    <pic:cNvPicPr/>
                  </pic:nvPicPr>
                  <pic:blipFill>
                    <a:blip r:embed="rId36" cstate="print"/>
                    <a:stretch>
                      <a:fillRect/>
                    </a:stretch>
                  </pic:blipFill>
                  <pic:spPr>
                    <a:xfrm>
                      <a:off x="0" y="0"/>
                      <a:ext cx="5760720" cy="2678430"/>
                    </a:xfrm>
                    <a:prstGeom prst="rect">
                      <a:avLst/>
                    </a:prstGeom>
                  </pic:spPr>
                </pic:pic>
              </a:graphicData>
            </a:graphic>
          </wp:inline>
        </w:drawing>
      </w:r>
    </w:p>
    <w:p w:rsidR="00AB5CB4" w:rsidRPr="00A803D0" w:rsidRDefault="00AB5CB4" w:rsidP="00A803D0">
      <w:pPr>
        <w:rPr>
          <w:b/>
          <w:sz w:val="18"/>
          <w:szCs w:val="18"/>
        </w:rPr>
      </w:pPr>
    </w:p>
    <w:p w:rsidR="00647557" w:rsidRPr="00647557" w:rsidRDefault="00647557" w:rsidP="00647557">
      <w:pPr>
        <w:pStyle w:val="Legenda"/>
        <w:keepNext/>
        <w:rPr>
          <w:color w:val="auto"/>
        </w:rPr>
      </w:pPr>
      <w:bookmarkStart w:id="322" w:name="_Toc427675363"/>
      <w:r w:rsidRPr="00647557">
        <w:rPr>
          <w:color w:val="auto"/>
        </w:rPr>
        <w:t xml:space="preserve">Tabela </w:t>
      </w:r>
      <w:r w:rsidR="00A93FFF" w:rsidRPr="00647557">
        <w:rPr>
          <w:color w:val="auto"/>
        </w:rPr>
        <w:fldChar w:fldCharType="begin"/>
      </w:r>
      <w:r w:rsidRPr="00647557">
        <w:rPr>
          <w:color w:val="auto"/>
        </w:rPr>
        <w:instrText xml:space="preserve"> SEQ Tabela \* ARABIC </w:instrText>
      </w:r>
      <w:r w:rsidR="00A93FFF" w:rsidRPr="00647557">
        <w:rPr>
          <w:color w:val="auto"/>
        </w:rPr>
        <w:fldChar w:fldCharType="separate"/>
      </w:r>
      <w:r w:rsidR="00871648">
        <w:rPr>
          <w:noProof/>
          <w:color w:val="auto"/>
        </w:rPr>
        <w:t>17</w:t>
      </w:r>
      <w:r w:rsidR="00A93FFF" w:rsidRPr="00647557">
        <w:rPr>
          <w:color w:val="auto"/>
        </w:rPr>
        <w:fldChar w:fldCharType="end"/>
      </w:r>
      <w:r w:rsidRPr="00647557">
        <w:rPr>
          <w:color w:val="auto"/>
        </w:rPr>
        <w:t>. Emisja gazów w Polsce i w województwie świętokrzyskim w latach 2008–2012            (źródło: GUS)</w:t>
      </w:r>
      <w:bookmarkEnd w:id="322"/>
    </w:p>
    <w:p w:rsidR="00AB5CB4" w:rsidRDefault="00A803D0" w:rsidP="00AB5CB4">
      <w:r>
        <w:rPr>
          <w:noProof/>
          <w:lang w:eastAsia="pl-PL"/>
        </w:rPr>
        <w:drawing>
          <wp:inline distT="0" distB="0" distL="0" distR="0">
            <wp:extent cx="5760720" cy="2837180"/>
            <wp:effectExtent l="19050" t="0" r="0" b="0"/>
            <wp:docPr id="15" name="Obraz 14" descr="tabel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a 2.PNG"/>
                    <pic:cNvPicPr/>
                  </pic:nvPicPr>
                  <pic:blipFill>
                    <a:blip r:embed="rId37" cstate="print"/>
                    <a:stretch>
                      <a:fillRect/>
                    </a:stretch>
                  </pic:blipFill>
                  <pic:spPr>
                    <a:xfrm>
                      <a:off x="0" y="0"/>
                      <a:ext cx="5760720" cy="2837180"/>
                    </a:xfrm>
                    <a:prstGeom prst="rect">
                      <a:avLst/>
                    </a:prstGeom>
                  </pic:spPr>
                </pic:pic>
              </a:graphicData>
            </a:graphic>
          </wp:inline>
        </w:drawing>
      </w:r>
    </w:p>
    <w:p w:rsidR="009136E1" w:rsidRDefault="00A803D0" w:rsidP="009136E1">
      <w:pPr>
        <w:rPr>
          <w:b/>
          <w:sz w:val="18"/>
          <w:szCs w:val="18"/>
        </w:rPr>
      </w:pPr>
      <w:r w:rsidRPr="00A803D0">
        <w:rPr>
          <w:b/>
          <w:sz w:val="18"/>
          <w:szCs w:val="18"/>
        </w:rPr>
        <w:t>Wykres 18. Emisja zanieczyszczeń z zakładów uciążliwych w województwie świętokrzyskim w latach 2008- 2012 (źródło: GUS)</w:t>
      </w:r>
    </w:p>
    <w:p w:rsidR="007140D8" w:rsidRDefault="00A803D0" w:rsidP="009136E1">
      <w:r>
        <w:rPr>
          <w:noProof/>
          <w:lang w:eastAsia="pl-PL"/>
        </w:rPr>
        <w:lastRenderedPageBreak/>
        <w:drawing>
          <wp:inline distT="0" distB="0" distL="0" distR="0">
            <wp:extent cx="5201376" cy="3705742"/>
            <wp:effectExtent l="19050" t="0" r="0" b="0"/>
            <wp:docPr id="17" name="Obraz 16" descr="emis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isja.PNG"/>
                    <pic:cNvPicPr/>
                  </pic:nvPicPr>
                  <pic:blipFill>
                    <a:blip r:embed="rId38" cstate="print"/>
                    <a:stretch>
                      <a:fillRect/>
                    </a:stretch>
                  </pic:blipFill>
                  <pic:spPr>
                    <a:xfrm>
                      <a:off x="0" y="0"/>
                      <a:ext cx="5201376" cy="3705742"/>
                    </a:xfrm>
                    <a:prstGeom prst="rect">
                      <a:avLst/>
                    </a:prstGeom>
                  </pic:spPr>
                </pic:pic>
              </a:graphicData>
            </a:graphic>
          </wp:inline>
        </w:drawing>
      </w:r>
    </w:p>
    <w:p w:rsidR="00A803D0" w:rsidRDefault="007140D8" w:rsidP="007140D8">
      <w:pPr>
        <w:tabs>
          <w:tab w:val="left" w:pos="7380"/>
        </w:tabs>
        <w:jc w:val="left"/>
      </w:pPr>
      <w:r>
        <w:tab/>
      </w:r>
    </w:p>
    <w:p w:rsidR="007140D8" w:rsidRDefault="007140D8" w:rsidP="007140D8">
      <w:pPr>
        <w:tabs>
          <w:tab w:val="left" w:pos="7380"/>
        </w:tabs>
        <w:spacing w:line="360" w:lineRule="auto"/>
      </w:pPr>
      <w:r>
        <w:t>Wyniki klasyfikacji stref za 2011 rok w województwie świętokrzyskim ze względu na ochronę zdr</w:t>
      </w:r>
      <w:r w:rsidR="00647557">
        <w:t>owia ludzi przedstawia tabela 18</w:t>
      </w:r>
      <w:r>
        <w:t xml:space="preserve"> oraz mapa 1. Ponieważ rok 2012 skutkował nadaniem takich samych klas obu strefom dla poszczeg</w:t>
      </w:r>
      <w:r w:rsidR="00647557">
        <w:t>ólnych zanieczyszczeń, tabela 18 i mapa 8</w:t>
      </w:r>
      <w:r>
        <w:t xml:space="preserve"> obejmują równocześnie wyniki klasyfikacji stref za rok 2012.</w:t>
      </w:r>
    </w:p>
    <w:p w:rsidR="00647557" w:rsidRDefault="00647557" w:rsidP="00647557">
      <w:pPr>
        <w:keepNext/>
        <w:tabs>
          <w:tab w:val="left" w:pos="7380"/>
        </w:tabs>
        <w:spacing w:line="360" w:lineRule="auto"/>
      </w:pPr>
      <w:r>
        <w:rPr>
          <w:noProof/>
          <w:lang w:eastAsia="pl-PL"/>
        </w:rPr>
        <w:lastRenderedPageBreak/>
        <w:drawing>
          <wp:inline distT="0" distB="0" distL="0" distR="0">
            <wp:extent cx="5429250" cy="4038600"/>
            <wp:effectExtent l="1905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srcRect/>
                    <a:stretch>
                      <a:fillRect/>
                    </a:stretch>
                  </pic:blipFill>
                  <pic:spPr bwMode="auto">
                    <a:xfrm>
                      <a:off x="0" y="0"/>
                      <a:ext cx="5429250" cy="4038600"/>
                    </a:xfrm>
                    <a:prstGeom prst="rect">
                      <a:avLst/>
                    </a:prstGeom>
                    <a:noFill/>
                    <a:ln w="9525">
                      <a:noFill/>
                      <a:miter lim="800000"/>
                      <a:headEnd/>
                      <a:tailEnd/>
                    </a:ln>
                  </pic:spPr>
                </pic:pic>
              </a:graphicData>
            </a:graphic>
          </wp:inline>
        </w:drawing>
      </w:r>
    </w:p>
    <w:p w:rsidR="007140D8" w:rsidRPr="00647557" w:rsidRDefault="00647557" w:rsidP="004E3043">
      <w:pPr>
        <w:pStyle w:val="Legenda"/>
        <w:jc w:val="right"/>
        <w:rPr>
          <w:color w:val="auto"/>
        </w:rPr>
      </w:pPr>
      <w:bookmarkStart w:id="323" w:name="_Toc427675263"/>
      <w:r w:rsidRPr="00647557">
        <w:rPr>
          <w:color w:val="auto"/>
        </w:rPr>
        <w:t xml:space="preserve">Mapa </w:t>
      </w:r>
      <w:r w:rsidR="00A93FFF" w:rsidRPr="00647557">
        <w:rPr>
          <w:color w:val="auto"/>
        </w:rPr>
        <w:fldChar w:fldCharType="begin"/>
      </w:r>
      <w:r w:rsidRPr="00647557">
        <w:rPr>
          <w:color w:val="auto"/>
        </w:rPr>
        <w:instrText xml:space="preserve"> SEQ Mapa \* ARABIC </w:instrText>
      </w:r>
      <w:r w:rsidR="00A93FFF" w:rsidRPr="00647557">
        <w:rPr>
          <w:color w:val="auto"/>
        </w:rPr>
        <w:fldChar w:fldCharType="separate"/>
      </w:r>
      <w:r w:rsidR="00871648">
        <w:rPr>
          <w:noProof/>
          <w:color w:val="auto"/>
        </w:rPr>
        <w:t>8</w:t>
      </w:r>
      <w:r w:rsidR="00A93FFF" w:rsidRPr="00647557">
        <w:rPr>
          <w:color w:val="auto"/>
        </w:rPr>
        <w:fldChar w:fldCharType="end"/>
      </w:r>
      <w:r w:rsidR="003B4588">
        <w:rPr>
          <w:color w:val="auto"/>
        </w:rPr>
        <w:t>.</w:t>
      </w:r>
      <w:r w:rsidRPr="00647557">
        <w:rPr>
          <w:color w:val="auto"/>
        </w:rPr>
        <w:t xml:space="preserve"> Klasyfikacja stref w 2011 oraz 20</w:t>
      </w:r>
      <w:r w:rsidR="004E3043">
        <w:rPr>
          <w:color w:val="auto"/>
        </w:rPr>
        <w:t>12, ze względu na  ochronę</w:t>
      </w:r>
      <w:r w:rsidRPr="00647557">
        <w:rPr>
          <w:color w:val="auto"/>
        </w:rPr>
        <w:t xml:space="preserve"> zdrowia</w:t>
      </w:r>
      <w:bookmarkEnd w:id="323"/>
    </w:p>
    <w:p w:rsidR="00FB6639" w:rsidRDefault="00FB6639" w:rsidP="007140D8">
      <w:pPr>
        <w:tabs>
          <w:tab w:val="left" w:pos="7380"/>
        </w:tabs>
        <w:spacing w:line="360" w:lineRule="auto"/>
        <w:rPr>
          <w:b/>
          <w:sz w:val="18"/>
          <w:szCs w:val="18"/>
        </w:rPr>
      </w:pPr>
    </w:p>
    <w:p w:rsidR="00647557" w:rsidRPr="00647557" w:rsidRDefault="00647557" w:rsidP="00647557">
      <w:pPr>
        <w:pStyle w:val="Legenda"/>
        <w:keepNext/>
        <w:rPr>
          <w:color w:val="auto"/>
        </w:rPr>
      </w:pPr>
      <w:bookmarkStart w:id="324" w:name="_Toc427675364"/>
      <w:r w:rsidRPr="00647557">
        <w:rPr>
          <w:color w:val="auto"/>
        </w:rPr>
        <w:t xml:space="preserve">Tabela </w:t>
      </w:r>
      <w:r w:rsidR="00A93FFF" w:rsidRPr="00647557">
        <w:rPr>
          <w:color w:val="auto"/>
        </w:rPr>
        <w:fldChar w:fldCharType="begin"/>
      </w:r>
      <w:r w:rsidRPr="00647557">
        <w:rPr>
          <w:color w:val="auto"/>
        </w:rPr>
        <w:instrText xml:space="preserve"> SEQ Tabela \* ARABIC </w:instrText>
      </w:r>
      <w:r w:rsidR="00A93FFF" w:rsidRPr="00647557">
        <w:rPr>
          <w:color w:val="auto"/>
        </w:rPr>
        <w:fldChar w:fldCharType="separate"/>
      </w:r>
      <w:r w:rsidR="00871648">
        <w:rPr>
          <w:noProof/>
          <w:color w:val="auto"/>
        </w:rPr>
        <w:t>18</w:t>
      </w:r>
      <w:r w:rsidR="00A93FFF" w:rsidRPr="00647557">
        <w:rPr>
          <w:color w:val="auto"/>
        </w:rPr>
        <w:fldChar w:fldCharType="end"/>
      </w:r>
      <w:r w:rsidRPr="00647557">
        <w:rPr>
          <w:noProof/>
          <w:color w:val="auto"/>
        </w:rPr>
        <w:t>. Wyniki klasyfikacji stref za 2011 oraz 2012 rok w województwie świętokrzyskim ze względu na ochronę zdrowia ludzi</w:t>
      </w:r>
      <w:r>
        <w:rPr>
          <w:noProof/>
          <w:color w:val="auto"/>
        </w:rPr>
        <w:t>.</w:t>
      </w:r>
      <w:bookmarkEnd w:id="324"/>
    </w:p>
    <w:p w:rsidR="00FB6639" w:rsidRDefault="00FB6639" w:rsidP="007140D8">
      <w:pPr>
        <w:tabs>
          <w:tab w:val="left" w:pos="7380"/>
        </w:tabs>
        <w:spacing w:line="360" w:lineRule="auto"/>
        <w:rPr>
          <w:b/>
          <w:sz w:val="18"/>
          <w:szCs w:val="18"/>
        </w:rPr>
      </w:pPr>
      <w:r>
        <w:rPr>
          <w:b/>
          <w:noProof/>
          <w:sz w:val="18"/>
          <w:szCs w:val="18"/>
          <w:lang w:eastAsia="pl-PL"/>
        </w:rPr>
        <w:drawing>
          <wp:inline distT="0" distB="0" distL="0" distR="0">
            <wp:extent cx="6038436" cy="1504950"/>
            <wp:effectExtent l="19050" t="0" r="414" b="0"/>
            <wp:docPr id="23" name="Obraz 22" descr="tavela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vela 3.PNG"/>
                    <pic:cNvPicPr/>
                  </pic:nvPicPr>
                  <pic:blipFill>
                    <a:blip r:embed="rId40" cstate="print"/>
                    <a:stretch>
                      <a:fillRect/>
                    </a:stretch>
                  </pic:blipFill>
                  <pic:spPr>
                    <a:xfrm>
                      <a:off x="0" y="0"/>
                      <a:ext cx="6036440" cy="1504452"/>
                    </a:xfrm>
                    <a:prstGeom prst="rect">
                      <a:avLst/>
                    </a:prstGeom>
                  </pic:spPr>
                </pic:pic>
              </a:graphicData>
            </a:graphic>
          </wp:inline>
        </w:drawing>
      </w:r>
    </w:p>
    <w:p w:rsidR="004E3043" w:rsidRDefault="004E3043" w:rsidP="007140D8">
      <w:pPr>
        <w:tabs>
          <w:tab w:val="left" w:pos="7380"/>
        </w:tabs>
        <w:spacing w:line="360" w:lineRule="auto"/>
        <w:rPr>
          <w:b/>
          <w:sz w:val="18"/>
          <w:szCs w:val="18"/>
        </w:rPr>
      </w:pPr>
    </w:p>
    <w:p w:rsidR="00FB6639" w:rsidRPr="00647557" w:rsidRDefault="00FB6639" w:rsidP="004E3043">
      <w:pPr>
        <w:pStyle w:val="Nagwek1"/>
        <w:jc w:val="both"/>
      </w:pPr>
      <w:bookmarkStart w:id="325" w:name="_Toc423587972"/>
      <w:bookmarkStart w:id="326" w:name="_Toc427566545"/>
      <w:bookmarkStart w:id="327" w:name="_Toc427675585"/>
      <w:bookmarkStart w:id="328" w:name="_Toc427734985"/>
      <w:bookmarkStart w:id="329" w:name="_Toc406671458"/>
      <w:bookmarkStart w:id="330" w:name="_Toc409437363"/>
      <w:r w:rsidRPr="00647557">
        <w:lastRenderedPageBreak/>
        <w:t>Propozycje w zakresie rozwoju i modernizacji poszczególnych systemów zaopatrzenia w ciepło, energię elektryczną i paliwa gazowe wraz z aspektem ekonomicznym do roku 202</w:t>
      </w:r>
      <w:bookmarkEnd w:id="325"/>
      <w:r w:rsidRPr="00647557">
        <w:t>5</w:t>
      </w:r>
      <w:bookmarkEnd w:id="326"/>
      <w:bookmarkEnd w:id="327"/>
      <w:bookmarkEnd w:id="328"/>
    </w:p>
    <w:p w:rsidR="00FB6639" w:rsidRPr="00647557" w:rsidRDefault="00FB6639" w:rsidP="00647557">
      <w:pPr>
        <w:pStyle w:val="Nagwek2"/>
      </w:pPr>
      <w:bookmarkStart w:id="331" w:name="_Toc406671459"/>
      <w:bookmarkStart w:id="332" w:name="_Toc409437364"/>
      <w:bookmarkStart w:id="333" w:name="_Toc423587973"/>
      <w:bookmarkStart w:id="334" w:name="_Toc427566546"/>
      <w:bookmarkStart w:id="335" w:name="_Toc427675586"/>
      <w:bookmarkStart w:id="336" w:name="_Toc427734986"/>
      <w:r w:rsidRPr="00647557">
        <w:t>Analiza bezpieczeństwa energetycznego miasta</w:t>
      </w:r>
      <w:bookmarkEnd w:id="331"/>
      <w:bookmarkEnd w:id="332"/>
      <w:bookmarkEnd w:id="333"/>
      <w:bookmarkEnd w:id="334"/>
      <w:bookmarkEnd w:id="335"/>
      <w:bookmarkEnd w:id="336"/>
    </w:p>
    <w:bookmarkEnd w:id="329"/>
    <w:bookmarkEnd w:id="330"/>
    <w:p w:rsidR="00FB6639" w:rsidRPr="00A11473" w:rsidRDefault="00FB6639" w:rsidP="00FB6639">
      <w:pPr>
        <w:autoSpaceDE w:val="0"/>
        <w:autoSpaceDN w:val="0"/>
        <w:adjustRightInd w:val="0"/>
        <w:spacing w:after="0" w:line="360" w:lineRule="auto"/>
        <w:rPr>
          <w:bCs/>
          <w:szCs w:val="23"/>
        </w:rPr>
      </w:pPr>
      <w:r w:rsidRPr="00A11473">
        <w:rPr>
          <w:bCs/>
          <w:szCs w:val="23"/>
        </w:rPr>
        <w:t>Bezpieczeństwo energetyczne jest zdefiniowane w ustawie z dnia 10 kwietnia 1997 - Prawo energetyczne (</w:t>
      </w:r>
      <w:r w:rsidRPr="00A11473">
        <w:rPr>
          <w:szCs w:val="32"/>
        </w:rPr>
        <w:t xml:space="preserve">tekst jednolity Dz. U. z 1997 r. Nr 54 poz. 348 z </w:t>
      </w:r>
      <w:proofErr w:type="spellStart"/>
      <w:r w:rsidRPr="00A11473">
        <w:rPr>
          <w:szCs w:val="32"/>
        </w:rPr>
        <w:t>późn</w:t>
      </w:r>
      <w:proofErr w:type="spellEnd"/>
      <w:r w:rsidRPr="00A11473">
        <w:rPr>
          <w:szCs w:val="32"/>
        </w:rPr>
        <w:t xml:space="preserve">. zm.) </w:t>
      </w:r>
      <w:r w:rsidRPr="00A11473">
        <w:rPr>
          <w:bCs/>
          <w:szCs w:val="23"/>
        </w:rPr>
        <w:t xml:space="preserve">jako „stan gospodarki umożliwiający pokrycie bieżącego i perspektywicznego zapotrzebowania odbiorców na paliwa i energię w sposób technicznie i ekonomicznie uzasadniony, przy zachowaniu wymagań ochrony środowiska”. </w:t>
      </w:r>
    </w:p>
    <w:p w:rsidR="00FB6639" w:rsidRPr="00A11473" w:rsidRDefault="00FB6639" w:rsidP="00FB6639">
      <w:pPr>
        <w:autoSpaceDE w:val="0"/>
        <w:autoSpaceDN w:val="0"/>
        <w:adjustRightInd w:val="0"/>
        <w:spacing w:after="0" w:line="360" w:lineRule="auto"/>
        <w:rPr>
          <w:bCs/>
          <w:szCs w:val="23"/>
        </w:rPr>
      </w:pPr>
      <w:r w:rsidRPr="00A11473">
        <w:rPr>
          <w:bCs/>
          <w:szCs w:val="23"/>
        </w:rPr>
        <w:t>Przyjmując za podstawę tę ustawową definicję, można określić zachowanie bezpieczeństwa energetycznego jako zespół działań zmierzających do stworzenia takiego systemu prawno-ekonomicznego, który wymuszałby:</w:t>
      </w:r>
    </w:p>
    <w:p w:rsidR="00FB6639" w:rsidRPr="00A11473" w:rsidRDefault="00FB6639" w:rsidP="00FB6639">
      <w:pPr>
        <w:autoSpaceDE w:val="0"/>
        <w:autoSpaceDN w:val="0"/>
        <w:adjustRightInd w:val="0"/>
        <w:spacing w:after="0" w:line="360" w:lineRule="auto"/>
        <w:ind w:firstLine="284"/>
        <w:rPr>
          <w:bCs/>
          <w:szCs w:val="23"/>
        </w:rPr>
      </w:pPr>
      <w:r w:rsidRPr="00A11473">
        <w:rPr>
          <w:bCs/>
          <w:szCs w:val="23"/>
        </w:rPr>
        <w:t>1) niezawodność dostaw;</w:t>
      </w:r>
    </w:p>
    <w:p w:rsidR="00FB6639" w:rsidRPr="00A11473" w:rsidRDefault="00FB6639" w:rsidP="00FB6639">
      <w:pPr>
        <w:autoSpaceDE w:val="0"/>
        <w:autoSpaceDN w:val="0"/>
        <w:adjustRightInd w:val="0"/>
        <w:spacing w:after="0" w:line="360" w:lineRule="auto"/>
        <w:ind w:firstLine="284"/>
        <w:rPr>
          <w:bCs/>
          <w:szCs w:val="23"/>
        </w:rPr>
      </w:pPr>
      <w:r w:rsidRPr="00A11473">
        <w:rPr>
          <w:bCs/>
          <w:szCs w:val="23"/>
        </w:rPr>
        <w:t>2) konkurencyjność;</w:t>
      </w:r>
    </w:p>
    <w:p w:rsidR="00FB6639" w:rsidRDefault="00FB6639" w:rsidP="00FB6639">
      <w:pPr>
        <w:autoSpaceDE w:val="0"/>
        <w:autoSpaceDN w:val="0"/>
        <w:adjustRightInd w:val="0"/>
        <w:spacing w:after="0" w:line="360" w:lineRule="auto"/>
        <w:ind w:firstLine="284"/>
        <w:rPr>
          <w:bCs/>
          <w:szCs w:val="23"/>
        </w:rPr>
      </w:pPr>
      <w:r w:rsidRPr="00A11473">
        <w:rPr>
          <w:bCs/>
          <w:szCs w:val="23"/>
        </w:rPr>
        <w:t>3) spełnienie wymogów ochrony środowiska.</w:t>
      </w:r>
    </w:p>
    <w:p w:rsidR="00FB6639" w:rsidRPr="006D2CAE" w:rsidRDefault="00FB6639" w:rsidP="00FB6639">
      <w:pPr>
        <w:autoSpaceDE w:val="0"/>
        <w:autoSpaceDN w:val="0"/>
        <w:adjustRightInd w:val="0"/>
        <w:spacing w:after="0" w:line="360" w:lineRule="auto"/>
        <w:ind w:firstLine="284"/>
        <w:rPr>
          <w:rFonts w:ascii="Trebuchet MS" w:hAnsi="Trebuchet MS"/>
          <w:bCs/>
          <w:szCs w:val="23"/>
        </w:rPr>
      </w:pPr>
    </w:p>
    <w:p w:rsidR="00FB6639" w:rsidRPr="00A11473" w:rsidRDefault="00FB6639" w:rsidP="00FB6639">
      <w:pPr>
        <w:autoSpaceDE w:val="0"/>
        <w:autoSpaceDN w:val="0"/>
        <w:adjustRightInd w:val="0"/>
        <w:spacing w:after="0" w:line="360" w:lineRule="auto"/>
        <w:rPr>
          <w:bCs/>
          <w:szCs w:val="23"/>
        </w:rPr>
      </w:pPr>
      <w:r w:rsidRPr="00A11473">
        <w:rPr>
          <w:bCs/>
          <w:szCs w:val="23"/>
        </w:rPr>
        <w:t xml:space="preserve">Oceniając bezpieczeństwo </w:t>
      </w:r>
      <w:r>
        <w:rPr>
          <w:bCs/>
          <w:szCs w:val="23"/>
        </w:rPr>
        <w:t>energetyczne gminy Strawczyn</w:t>
      </w:r>
      <w:r w:rsidRPr="00A11473">
        <w:rPr>
          <w:bCs/>
          <w:szCs w:val="23"/>
        </w:rPr>
        <w:t xml:space="preserve">, na podstawie otrzymanych danych w zakresie bieżącego oraz perspektywicznego zapotrzebowania odbiorców na paliwa </w:t>
      </w:r>
      <w:r>
        <w:rPr>
          <w:bCs/>
          <w:szCs w:val="23"/>
        </w:rPr>
        <w:br/>
      </w:r>
      <w:r w:rsidRPr="00A11473">
        <w:rPr>
          <w:bCs/>
          <w:szCs w:val="23"/>
        </w:rPr>
        <w:t>i energię można stwierdzić, że dostawa paliw i energii jest na bieżąco realizowana i zabezpieczona pod względem technicznym.</w:t>
      </w:r>
    </w:p>
    <w:p w:rsidR="00FB6639" w:rsidRPr="00A11473" w:rsidRDefault="00FB6639" w:rsidP="00FB6639">
      <w:pPr>
        <w:autoSpaceDE w:val="0"/>
        <w:autoSpaceDN w:val="0"/>
        <w:adjustRightInd w:val="0"/>
        <w:spacing w:after="0" w:line="360" w:lineRule="auto"/>
        <w:rPr>
          <w:bCs/>
          <w:szCs w:val="23"/>
        </w:rPr>
      </w:pPr>
      <w:r w:rsidRPr="00A11473">
        <w:rPr>
          <w:bCs/>
          <w:szCs w:val="23"/>
        </w:rPr>
        <w:t xml:space="preserve">Przedsiębiorstwa energetyczne na bieżąco realizują modernizacje i remonty oraz planują inwestycje w zakresie rozbudowy systemów zaopatrzenia w energię na okres perspektywiczny. W zakresie elektroenergetyki istniejący system połączeń sieciami wysokich napięć </w:t>
      </w:r>
      <w:r>
        <w:rPr>
          <w:bCs/>
          <w:szCs w:val="23"/>
        </w:rPr>
        <w:t>(WN) w województwie świętokrzyskim</w:t>
      </w:r>
      <w:r w:rsidRPr="00A11473">
        <w:rPr>
          <w:bCs/>
          <w:szCs w:val="23"/>
        </w:rPr>
        <w:t xml:space="preserve"> gwarantuje dostawę energii elektrycznej w sposób ciągły i niezawodny.</w:t>
      </w:r>
    </w:p>
    <w:p w:rsidR="00FB6639" w:rsidRDefault="00FB6639" w:rsidP="00FB6639">
      <w:pPr>
        <w:autoSpaceDE w:val="0"/>
        <w:autoSpaceDN w:val="0"/>
        <w:adjustRightInd w:val="0"/>
        <w:spacing w:after="0" w:line="360" w:lineRule="auto"/>
        <w:rPr>
          <w:bCs/>
          <w:szCs w:val="23"/>
        </w:rPr>
      </w:pPr>
      <w:r w:rsidRPr="00A11473">
        <w:rPr>
          <w:bCs/>
          <w:szCs w:val="23"/>
        </w:rPr>
        <w:t>Podsumowując, obecnie nie występuje zagrożenie bezpiecz</w:t>
      </w:r>
      <w:r>
        <w:rPr>
          <w:bCs/>
          <w:szCs w:val="23"/>
        </w:rPr>
        <w:t>eństwa energetycznego dla gminy Strawczyn</w:t>
      </w:r>
      <w:r w:rsidRPr="00A11473">
        <w:rPr>
          <w:bCs/>
          <w:szCs w:val="23"/>
        </w:rPr>
        <w:t xml:space="preserve"> i brak jest sygnałów, aby w okresie najbliższych lat takie zagrożenie mogło </w:t>
      </w:r>
      <w:r>
        <w:rPr>
          <w:bCs/>
          <w:szCs w:val="23"/>
        </w:rPr>
        <w:t>wystąpić.</w:t>
      </w:r>
    </w:p>
    <w:p w:rsidR="00E87DB7" w:rsidRPr="00647557" w:rsidRDefault="00E87DB7" w:rsidP="00647557">
      <w:pPr>
        <w:pStyle w:val="Nagwek2"/>
        <w:rPr>
          <w:szCs w:val="23"/>
        </w:rPr>
      </w:pPr>
      <w:bookmarkStart w:id="337" w:name="_Toc427566547"/>
      <w:bookmarkStart w:id="338" w:name="_Toc427675587"/>
      <w:bookmarkStart w:id="339" w:name="_Toc427734987"/>
      <w:r w:rsidRPr="00647557">
        <w:t xml:space="preserve">Zapewnienie zgodności planów energetycznych z założeniami do planu energetycznego </w:t>
      </w:r>
      <w:bookmarkEnd w:id="337"/>
      <w:r w:rsidRPr="00647557">
        <w:t>Gminy</w:t>
      </w:r>
      <w:bookmarkEnd w:id="338"/>
      <w:bookmarkEnd w:id="339"/>
    </w:p>
    <w:p w:rsidR="00E87DB7" w:rsidRPr="00DD26A9" w:rsidRDefault="00E87DB7" w:rsidP="00E87DB7">
      <w:pPr>
        <w:spacing w:line="360" w:lineRule="auto"/>
      </w:pPr>
      <w:r w:rsidRPr="00DD26A9">
        <w:t>Przedsiębiorstwa energetyczne są zobowiązane zapewnić realizację i finansowanie budowy i rozbudowy sieci, w tym na potrzeby przyłąc</w:t>
      </w:r>
      <w:r>
        <w:t xml:space="preserve">zeń odbiorców ubiegających się </w:t>
      </w:r>
      <w:r w:rsidRPr="00DD26A9">
        <w:t>o przyłączenie, na warunkach określonych w rozpor</w:t>
      </w:r>
      <w:r>
        <w:t xml:space="preserve">ządzeniach Ministra Gospodarki </w:t>
      </w:r>
      <w:r w:rsidRPr="00DD26A9">
        <w:t xml:space="preserve">w sprawie szczegółowych warunków przyłączenia podmiotów do sieci oraz rozporządzeniach w sprawie zasad </w:t>
      </w:r>
      <w:r w:rsidRPr="00DD26A9">
        <w:lastRenderedPageBreak/>
        <w:t>kształtowani i kalkulacji taryf. Za przyłączenie do sieci zakłady energetyczne pobierają opłatę określoną na podstawie stawek opłat ustalonych w taryfie.</w:t>
      </w:r>
    </w:p>
    <w:p w:rsidR="00E87DB7" w:rsidRPr="00DD26A9" w:rsidRDefault="00E87DB7" w:rsidP="00E87DB7">
      <w:pPr>
        <w:spacing w:line="360" w:lineRule="auto"/>
      </w:pPr>
      <w:r w:rsidRPr="00DD26A9">
        <w:t>Decyzje inwestycyjne przedsiębiorstw energetycznych podejmowane są po potwierdzeniu zwiększonego zapotrzebowania przez konkretnych odbiorców oraz po potwierdzeniu efektywności ekonomicznej inwestycji.</w:t>
      </w:r>
    </w:p>
    <w:p w:rsidR="00E87DB7" w:rsidRPr="00DD26A9" w:rsidRDefault="00E87DB7" w:rsidP="00E87DB7">
      <w:pPr>
        <w:spacing w:line="360" w:lineRule="auto"/>
        <w:rPr>
          <w:rFonts w:cs="Arial-BoldMT"/>
          <w:lang w:eastAsia="pl-PL"/>
        </w:rPr>
      </w:pPr>
      <w:r w:rsidRPr="00DD26A9">
        <w:rPr>
          <w:rFonts w:cs="Arial-BoldMT"/>
          <w:lang w:eastAsia="pl-PL"/>
        </w:rPr>
        <w:t xml:space="preserve">W miejscowych planach zagospodarowania przestrzennego należy uwzględnić konieczność pozostawiania rezerw terenu dla infrastruktury energetycznej – stacji transformatorowych </w:t>
      </w:r>
      <w:r w:rsidRPr="00DD26A9">
        <w:rPr>
          <w:rFonts w:cs="Arial-BoldMT"/>
          <w:lang w:eastAsia="pl-PL"/>
        </w:rPr>
        <w:br/>
        <w:t>i linii zasilających oraz gazociągów.</w:t>
      </w:r>
    </w:p>
    <w:p w:rsidR="00E87DB7" w:rsidRPr="00E87DB7" w:rsidRDefault="00E87DB7" w:rsidP="00E87DB7">
      <w:pPr>
        <w:spacing w:line="360" w:lineRule="auto"/>
        <w:rPr>
          <w:color w:val="000000"/>
          <w:u w:val="single"/>
        </w:rPr>
      </w:pPr>
      <w:r w:rsidRPr="00E87DB7">
        <w:rPr>
          <w:color w:val="000000"/>
          <w:u w:val="single"/>
        </w:rPr>
        <w:t>System elektroenergetyczny</w:t>
      </w:r>
    </w:p>
    <w:p w:rsidR="00E87DB7" w:rsidRPr="00E87DB7" w:rsidRDefault="00E87DB7" w:rsidP="00E87DB7">
      <w:pPr>
        <w:spacing w:line="360" w:lineRule="auto"/>
        <w:rPr>
          <w:color w:val="000000"/>
        </w:rPr>
      </w:pPr>
      <w:r w:rsidRPr="00213DC4">
        <w:rPr>
          <w:color w:val="000000"/>
        </w:rPr>
        <w:t>Działania inwestycyjne planowane przez PGE Dystry</w:t>
      </w:r>
      <w:r w:rsidR="00213DC4" w:rsidRPr="00213DC4">
        <w:rPr>
          <w:color w:val="000000"/>
        </w:rPr>
        <w:t xml:space="preserve">bucja S.A. oraz </w:t>
      </w:r>
      <w:r w:rsidRPr="00213DC4">
        <w:rPr>
          <w:color w:val="000000"/>
        </w:rPr>
        <w:t xml:space="preserve"> dotyczą modernizacji i rozbudowy sieci elektroenergetycznej. Wszelkie planowane działania są spójne z miejscowymi planami zagospodarowania przestrzennego gminy.</w:t>
      </w:r>
    </w:p>
    <w:p w:rsidR="00E87DB7" w:rsidRPr="00647557" w:rsidRDefault="00E87DB7" w:rsidP="00647557">
      <w:pPr>
        <w:pStyle w:val="Nagwek2"/>
      </w:pPr>
      <w:bookmarkStart w:id="340" w:name="_Toc409437366"/>
      <w:bookmarkStart w:id="341" w:name="_Toc423587975"/>
      <w:bookmarkStart w:id="342" w:name="_Toc427566548"/>
      <w:bookmarkStart w:id="343" w:name="_Toc427675588"/>
      <w:bookmarkStart w:id="344" w:name="_Toc427734988"/>
      <w:r w:rsidRPr="00647557">
        <w:t>Współpraca z sąsiednimi gminami w zakresie gospodarki energetycznej</w:t>
      </w:r>
      <w:bookmarkEnd w:id="340"/>
      <w:bookmarkEnd w:id="341"/>
      <w:bookmarkEnd w:id="342"/>
      <w:bookmarkEnd w:id="343"/>
      <w:bookmarkEnd w:id="344"/>
    </w:p>
    <w:p w:rsidR="00E87DB7" w:rsidRPr="00E87DB7" w:rsidRDefault="00E87DB7" w:rsidP="00E87DB7">
      <w:pPr>
        <w:spacing w:line="360" w:lineRule="auto"/>
        <w:rPr>
          <w:rFonts w:eastAsia="MS Gothic" w:cstheme="majorBidi"/>
          <w:bCs/>
          <w:szCs w:val="23"/>
        </w:rPr>
      </w:pPr>
      <w:r w:rsidRPr="00E87DB7">
        <w:rPr>
          <w:rFonts w:eastAsia="MS Gothic" w:cstheme="majorBidi"/>
          <w:bCs/>
          <w:szCs w:val="23"/>
        </w:rPr>
        <w:t xml:space="preserve">Zgodnie z art. 19 ust. 3 pkt. 4 Prawa energetycznego (tekst jednolity Dz. U. z 1997 r. Nr 54 poz. 348 z </w:t>
      </w:r>
      <w:proofErr w:type="spellStart"/>
      <w:r w:rsidRPr="00E87DB7">
        <w:rPr>
          <w:rFonts w:eastAsia="MS Gothic" w:cstheme="majorBidi"/>
          <w:bCs/>
          <w:szCs w:val="23"/>
        </w:rPr>
        <w:t>późn</w:t>
      </w:r>
      <w:proofErr w:type="spellEnd"/>
      <w:r w:rsidRPr="00E87DB7">
        <w:rPr>
          <w:rFonts w:eastAsia="MS Gothic" w:cstheme="majorBidi"/>
          <w:bCs/>
          <w:szCs w:val="23"/>
        </w:rPr>
        <w:t xml:space="preserve">. zm.), „Projekt założeń ...” powinien określać zakres współpracy </w:t>
      </w:r>
      <w:r w:rsidRPr="00E87DB7">
        <w:rPr>
          <w:rFonts w:eastAsia="MS Gothic" w:cstheme="majorBidi"/>
          <w:bCs/>
          <w:szCs w:val="23"/>
        </w:rPr>
        <w:br/>
        <w:t>z innymi gminami odnośnie sposobu pokrywania</w:t>
      </w:r>
      <w:r>
        <w:rPr>
          <w:rFonts w:eastAsia="MS Gothic" w:cstheme="majorBidi"/>
          <w:bCs/>
          <w:szCs w:val="23"/>
        </w:rPr>
        <w:t xml:space="preserve"> potrzeb energetycznych. Gmina Strawczyn</w:t>
      </w:r>
      <w:r w:rsidRPr="00E87DB7">
        <w:rPr>
          <w:rFonts w:eastAsia="MS Gothic" w:cstheme="majorBidi"/>
          <w:bCs/>
          <w:szCs w:val="23"/>
        </w:rPr>
        <w:t xml:space="preserve"> położona jest w północnej części województwa podkarpackiego. </w:t>
      </w:r>
    </w:p>
    <w:p w:rsidR="00E87DB7" w:rsidRPr="00E87DB7" w:rsidRDefault="00E87DB7" w:rsidP="00E87DB7">
      <w:pPr>
        <w:spacing w:line="360" w:lineRule="auto"/>
        <w:rPr>
          <w:rFonts w:eastAsia="MS Gothic" w:cstheme="majorBidi"/>
          <w:bCs/>
          <w:szCs w:val="23"/>
        </w:rPr>
      </w:pPr>
      <w:r w:rsidRPr="00E87DB7">
        <w:rPr>
          <w:rFonts w:eastAsia="MS Gothic" w:cstheme="majorBidi"/>
          <w:bCs/>
          <w:szCs w:val="23"/>
        </w:rPr>
        <w:t>Sąsiaduje bezpośrednio z:</w:t>
      </w:r>
    </w:p>
    <w:p w:rsidR="00E87DB7" w:rsidRDefault="00E87DB7" w:rsidP="00775439">
      <w:pPr>
        <w:numPr>
          <w:ilvl w:val="0"/>
          <w:numId w:val="37"/>
        </w:numPr>
        <w:spacing w:line="360" w:lineRule="auto"/>
        <w:rPr>
          <w:rFonts w:eastAsia="MS Gothic" w:cstheme="majorBidi"/>
          <w:bCs/>
          <w:szCs w:val="23"/>
        </w:rPr>
      </w:pPr>
      <w:r>
        <w:rPr>
          <w:rFonts w:eastAsia="MS Gothic" w:cstheme="majorBidi"/>
          <w:bCs/>
          <w:szCs w:val="23"/>
        </w:rPr>
        <w:t>Gminą Mniów</w:t>
      </w:r>
    </w:p>
    <w:p w:rsidR="00E87DB7" w:rsidRDefault="00E87DB7" w:rsidP="00775439">
      <w:pPr>
        <w:numPr>
          <w:ilvl w:val="0"/>
          <w:numId w:val="37"/>
        </w:numPr>
        <w:spacing w:line="360" w:lineRule="auto"/>
        <w:rPr>
          <w:rFonts w:eastAsia="MS Gothic" w:cstheme="majorBidi"/>
          <w:bCs/>
          <w:szCs w:val="23"/>
        </w:rPr>
      </w:pPr>
      <w:r>
        <w:rPr>
          <w:rFonts w:eastAsia="MS Gothic" w:cstheme="majorBidi"/>
          <w:bCs/>
          <w:szCs w:val="23"/>
        </w:rPr>
        <w:t>Gminą Miedziana Góra</w:t>
      </w:r>
    </w:p>
    <w:p w:rsidR="00E87DB7" w:rsidRDefault="00E87DB7" w:rsidP="00775439">
      <w:pPr>
        <w:numPr>
          <w:ilvl w:val="0"/>
          <w:numId w:val="37"/>
        </w:numPr>
        <w:spacing w:line="360" w:lineRule="auto"/>
        <w:rPr>
          <w:rFonts w:eastAsia="MS Gothic" w:cstheme="majorBidi"/>
          <w:bCs/>
          <w:szCs w:val="23"/>
        </w:rPr>
      </w:pPr>
      <w:r>
        <w:rPr>
          <w:rFonts w:eastAsia="MS Gothic" w:cstheme="majorBidi"/>
          <w:bCs/>
          <w:szCs w:val="23"/>
        </w:rPr>
        <w:t>Gminą Piekoszów</w:t>
      </w:r>
    </w:p>
    <w:p w:rsidR="00E87DB7" w:rsidRPr="00E87DB7" w:rsidRDefault="006F68BE" w:rsidP="00775439">
      <w:pPr>
        <w:numPr>
          <w:ilvl w:val="0"/>
          <w:numId w:val="37"/>
        </w:numPr>
        <w:spacing w:line="360" w:lineRule="auto"/>
        <w:rPr>
          <w:rFonts w:eastAsia="MS Gothic" w:cstheme="majorBidi"/>
          <w:bCs/>
          <w:szCs w:val="23"/>
        </w:rPr>
      </w:pPr>
      <w:r>
        <w:rPr>
          <w:rFonts w:eastAsia="MS Gothic" w:cstheme="majorBidi"/>
          <w:bCs/>
          <w:szCs w:val="23"/>
        </w:rPr>
        <w:t>Gminą Łopuszno</w:t>
      </w:r>
    </w:p>
    <w:p w:rsidR="00E87DB7" w:rsidRPr="00E87DB7" w:rsidRDefault="00E87DB7" w:rsidP="00E87DB7">
      <w:pPr>
        <w:spacing w:line="360" w:lineRule="auto"/>
        <w:rPr>
          <w:rFonts w:eastAsia="MS Gothic" w:cstheme="majorBidi"/>
          <w:bCs/>
          <w:szCs w:val="23"/>
        </w:rPr>
      </w:pPr>
      <w:r w:rsidRPr="00E87DB7">
        <w:rPr>
          <w:rFonts w:eastAsia="MS Gothic" w:cstheme="majorBidi"/>
          <w:bCs/>
          <w:szCs w:val="23"/>
        </w:rPr>
        <w:t>W ramach niniejszego dokumentu dokonano analizy istniejących i przyszłych moż</w:t>
      </w:r>
      <w:r w:rsidR="006F68BE">
        <w:rPr>
          <w:rFonts w:eastAsia="MS Gothic" w:cstheme="majorBidi"/>
          <w:bCs/>
          <w:szCs w:val="23"/>
        </w:rPr>
        <w:t xml:space="preserve">liwych powiązań pomiędzy </w:t>
      </w:r>
      <w:proofErr w:type="spellStart"/>
      <w:r w:rsidR="006F68BE">
        <w:rPr>
          <w:rFonts w:eastAsia="MS Gothic" w:cstheme="majorBidi"/>
          <w:bCs/>
          <w:szCs w:val="23"/>
        </w:rPr>
        <w:t>gminąStrawczyn</w:t>
      </w:r>
      <w:proofErr w:type="spellEnd"/>
      <w:r w:rsidRPr="00E87DB7">
        <w:rPr>
          <w:rFonts w:eastAsia="MS Gothic" w:cstheme="majorBidi"/>
          <w:bCs/>
          <w:szCs w:val="23"/>
        </w:rPr>
        <w:t>, a ww. sąsiadującymi bezpośrednio gminami. Określony na tej podstawie zakres obecnej i możliwej w przyszłości współpracy, został przedstawiony władzom gmin sąsiadujących, w ramach wystosowanej do nich korespondencji. Pisma rozesłane do gmin ościennych zawierały niżej przedstawione pytania.</w:t>
      </w:r>
    </w:p>
    <w:p w:rsidR="00E87DB7" w:rsidRPr="00E87DB7" w:rsidRDefault="00E87DB7" w:rsidP="00775439">
      <w:pPr>
        <w:numPr>
          <w:ilvl w:val="0"/>
          <w:numId w:val="36"/>
        </w:numPr>
        <w:spacing w:line="360" w:lineRule="auto"/>
        <w:rPr>
          <w:rFonts w:eastAsia="MS Gothic" w:cstheme="majorBidi"/>
          <w:bCs/>
          <w:szCs w:val="23"/>
        </w:rPr>
      </w:pPr>
      <w:r w:rsidRPr="00E87DB7">
        <w:rPr>
          <w:rFonts w:eastAsia="MS Gothic" w:cstheme="majorBidi"/>
          <w:bCs/>
          <w:szCs w:val="23"/>
        </w:rPr>
        <w:t xml:space="preserve">czy Gmina ościenna posiada „Projekt założeń do planu zaopatrzenia </w:t>
      </w:r>
      <w:r w:rsidRPr="00E87DB7">
        <w:rPr>
          <w:rFonts w:eastAsia="MS Gothic" w:cstheme="majorBidi"/>
          <w:bCs/>
          <w:szCs w:val="23"/>
        </w:rPr>
        <w:br/>
        <w:t>w ciepło, energię elektryczną i paliwa gazowe ” lub czy czynione są zamierzenia w tym kierunku?</w:t>
      </w:r>
    </w:p>
    <w:p w:rsidR="00E87DB7" w:rsidRPr="00E87DB7" w:rsidRDefault="00E87DB7" w:rsidP="00775439">
      <w:pPr>
        <w:numPr>
          <w:ilvl w:val="0"/>
          <w:numId w:val="36"/>
        </w:numPr>
        <w:spacing w:line="360" w:lineRule="auto"/>
        <w:rPr>
          <w:rFonts w:eastAsia="MS Gothic" w:cstheme="majorBidi"/>
          <w:bCs/>
          <w:szCs w:val="23"/>
        </w:rPr>
      </w:pPr>
      <w:r w:rsidRPr="00E87DB7">
        <w:rPr>
          <w:rFonts w:eastAsia="MS Gothic" w:cstheme="majorBidi"/>
          <w:bCs/>
          <w:szCs w:val="23"/>
        </w:rPr>
        <w:lastRenderedPageBreak/>
        <w:t xml:space="preserve">czy istnieją powiązania Gminy ościennej z </w:t>
      </w:r>
      <w:r w:rsidR="006F68BE">
        <w:rPr>
          <w:rFonts w:eastAsia="MS Gothic" w:cstheme="majorBidi"/>
          <w:bCs/>
          <w:szCs w:val="23"/>
        </w:rPr>
        <w:t>Gminą Strawczyn</w:t>
      </w:r>
      <w:r w:rsidRPr="00E87DB7">
        <w:rPr>
          <w:rFonts w:eastAsia="MS Gothic" w:cstheme="majorBidi"/>
          <w:bCs/>
          <w:szCs w:val="23"/>
        </w:rPr>
        <w:br/>
        <w:t>w zakresie pokrywania potrzeb energetycznych, ciepłowniczych, gazowniczych?</w:t>
      </w:r>
    </w:p>
    <w:p w:rsidR="00E87DB7" w:rsidRPr="00E87DB7" w:rsidRDefault="00E87DB7" w:rsidP="00775439">
      <w:pPr>
        <w:numPr>
          <w:ilvl w:val="0"/>
          <w:numId w:val="36"/>
        </w:numPr>
        <w:spacing w:line="360" w:lineRule="auto"/>
        <w:rPr>
          <w:rFonts w:eastAsia="MS Gothic" w:cstheme="majorBidi"/>
          <w:bCs/>
          <w:szCs w:val="23"/>
        </w:rPr>
      </w:pPr>
      <w:r w:rsidRPr="00E87DB7">
        <w:rPr>
          <w:rFonts w:eastAsia="MS Gothic" w:cstheme="majorBidi"/>
          <w:bCs/>
          <w:szCs w:val="23"/>
        </w:rPr>
        <w:t xml:space="preserve">czy są znane elementy infrastruktury zlokalizowane na terenie </w:t>
      </w:r>
      <w:r w:rsidR="006F68BE">
        <w:rPr>
          <w:rFonts w:eastAsia="MS Gothic" w:cstheme="majorBidi"/>
          <w:bCs/>
          <w:szCs w:val="23"/>
        </w:rPr>
        <w:t>Gminą Strawczyn</w:t>
      </w:r>
      <w:r w:rsidRPr="00E87DB7">
        <w:rPr>
          <w:rFonts w:eastAsia="MS Gothic" w:cstheme="majorBidi"/>
          <w:bCs/>
          <w:szCs w:val="23"/>
        </w:rPr>
        <w:t>, których budowa, rozbudowa lub modernizacja warunkuje zaopatrzenie gminy ościennej?</w:t>
      </w:r>
    </w:p>
    <w:p w:rsidR="00E87DB7" w:rsidRPr="00E87DB7" w:rsidRDefault="00E87DB7" w:rsidP="00775439">
      <w:pPr>
        <w:numPr>
          <w:ilvl w:val="0"/>
          <w:numId w:val="36"/>
        </w:numPr>
        <w:spacing w:line="360" w:lineRule="auto"/>
        <w:rPr>
          <w:rFonts w:eastAsia="MS Gothic" w:cstheme="majorBidi"/>
          <w:bCs/>
          <w:szCs w:val="23"/>
        </w:rPr>
      </w:pPr>
      <w:r w:rsidRPr="00E87DB7">
        <w:rPr>
          <w:rFonts w:eastAsia="MS Gothic" w:cstheme="majorBidi"/>
          <w:bCs/>
          <w:szCs w:val="23"/>
        </w:rPr>
        <w:t xml:space="preserve">czy są znane elementy infrastruktury związane z zaopatrzeniem w ciepło, energię elektryczną i paliwa gazowe, których rozbudowa wymaga uzgodnień </w:t>
      </w:r>
      <w:r w:rsidRPr="00E87DB7">
        <w:rPr>
          <w:rFonts w:eastAsia="MS Gothic" w:cstheme="majorBidi"/>
          <w:bCs/>
          <w:szCs w:val="23"/>
        </w:rPr>
        <w:br/>
        <w:t xml:space="preserve">z </w:t>
      </w:r>
      <w:r w:rsidR="006F68BE">
        <w:rPr>
          <w:rFonts w:eastAsia="MS Gothic" w:cstheme="majorBidi"/>
          <w:bCs/>
          <w:szCs w:val="23"/>
        </w:rPr>
        <w:t>Gminą Strawczyn</w:t>
      </w:r>
      <w:r w:rsidRPr="00E87DB7">
        <w:rPr>
          <w:rFonts w:eastAsia="MS Gothic" w:cstheme="majorBidi"/>
          <w:bCs/>
          <w:szCs w:val="23"/>
        </w:rPr>
        <w:t>?</w:t>
      </w:r>
    </w:p>
    <w:p w:rsidR="00E87DB7" w:rsidRPr="00E87DB7" w:rsidRDefault="00E87DB7" w:rsidP="00775439">
      <w:pPr>
        <w:numPr>
          <w:ilvl w:val="0"/>
          <w:numId w:val="36"/>
        </w:numPr>
        <w:spacing w:line="360" w:lineRule="auto"/>
        <w:rPr>
          <w:rFonts w:eastAsia="MS Gothic" w:cstheme="majorBidi"/>
          <w:bCs/>
          <w:szCs w:val="23"/>
        </w:rPr>
      </w:pPr>
      <w:r w:rsidRPr="00E87DB7">
        <w:rPr>
          <w:rFonts w:eastAsia="MS Gothic" w:cstheme="majorBidi"/>
          <w:bCs/>
          <w:szCs w:val="23"/>
        </w:rPr>
        <w:t xml:space="preserve">czy Gmina ościenna wyraża wolę współpracy z </w:t>
      </w:r>
      <w:r w:rsidR="006F68BE">
        <w:rPr>
          <w:rFonts w:eastAsia="MS Gothic" w:cstheme="majorBidi"/>
          <w:bCs/>
          <w:szCs w:val="23"/>
        </w:rPr>
        <w:t>Gminą Strawczyn</w:t>
      </w:r>
      <w:r w:rsidRPr="00E87DB7">
        <w:rPr>
          <w:rFonts w:eastAsia="MS Gothic" w:cstheme="majorBidi"/>
          <w:bCs/>
          <w:szCs w:val="23"/>
        </w:rPr>
        <w:br/>
        <w:t>w zakresie zaopatrzenia w ciepło, energię elektryczną i paliwa gazowe?</w:t>
      </w:r>
    </w:p>
    <w:p w:rsidR="00E87DB7" w:rsidRPr="00E87DB7" w:rsidRDefault="00E87DB7" w:rsidP="00E87DB7">
      <w:pPr>
        <w:spacing w:line="360" w:lineRule="auto"/>
        <w:rPr>
          <w:rFonts w:eastAsia="MS Gothic" w:cstheme="majorBidi"/>
          <w:bCs/>
          <w:szCs w:val="23"/>
          <w:u w:val="single"/>
        </w:rPr>
      </w:pPr>
      <w:r w:rsidRPr="00E87DB7">
        <w:rPr>
          <w:rFonts w:eastAsia="MS Gothic" w:cstheme="majorBidi"/>
          <w:bCs/>
          <w:szCs w:val="23"/>
          <w:u w:val="single"/>
        </w:rPr>
        <w:t>System elektroenergetyczny</w:t>
      </w:r>
    </w:p>
    <w:p w:rsidR="00E87DB7" w:rsidRPr="00E87DB7" w:rsidRDefault="00E87DB7" w:rsidP="00E87DB7">
      <w:pPr>
        <w:spacing w:line="360" w:lineRule="auto"/>
        <w:rPr>
          <w:rFonts w:eastAsia="MS Gothic" w:cstheme="majorBidi"/>
          <w:bCs/>
          <w:szCs w:val="23"/>
        </w:rPr>
      </w:pPr>
      <w:r w:rsidRPr="00E87DB7">
        <w:rPr>
          <w:rFonts w:eastAsia="MS Gothic" w:cstheme="majorBidi"/>
          <w:bCs/>
          <w:szCs w:val="23"/>
        </w:rPr>
        <w:t xml:space="preserve">System elektroenergetyczny ma charakter regionalny i zarządzany jest przez właściwy terytorialnie rejon energetyczny. W ramach systemu elektroenergetycznego współpraca z sąsiednimi gminami realizowana jest na szczeblu przedsiębiorstwa energetycznego jakim jest </w:t>
      </w:r>
      <w:r w:rsidRPr="00213DC4">
        <w:rPr>
          <w:rFonts w:eastAsia="MS Gothic" w:cstheme="majorBidi"/>
          <w:bCs/>
          <w:szCs w:val="23"/>
        </w:rPr>
        <w:t>PGE Dystrybuc</w:t>
      </w:r>
      <w:r w:rsidR="00213DC4">
        <w:rPr>
          <w:rFonts w:eastAsia="MS Gothic" w:cstheme="majorBidi"/>
          <w:bCs/>
          <w:szCs w:val="23"/>
        </w:rPr>
        <w:t>ja S.A. Oddział Skarżysko-Kamienna</w:t>
      </w:r>
      <w:r w:rsidRPr="00E87DB7">
        <w:rPr>
          <w:rFonts w:eastAsia="MS Gothic" w:cstheme="majorBidi"/>
          <w:bCs/>
          <w:szCs w:val="23"/>
        </w:rPr>
        <w:t xml:space="preserve"> której </w:t>
      </w:r>
      <w:proofErr w:type="spellStart"/>
      <w:r w:rsidRPr="00E87DB7">
        <w:rPr>
          <w:rFonts w:eastAsia="MS Gothic" w:cstheme="majorBidi"/>
          <w:bCs/>
          <w:szCs w:val="23"/>
        </w:rPr>
        <w:t>ponadgminny</w:t>
      </w:r>
      <w:proofErr w:type="spellEnd"/>
      <w:r w:rsidRPr="00E87DB7">
        <w:rPr>
          <w:rFonts w:eastAsia="MS Gothic" w:cstheme="majorBidi"/>
          <w:bCs/>
          <w:szCs w:val="23"/>
        </w:rPr>
        <w:t xml:space="preserve"> charakter determinuje wzajemne powiązania sieciowe. Inwestycje z zakresu modernizacji lub rozbudowy sieci elektroenergetycznych realizowane są w uzgodnieniu z właściwym terytorialnie zakładem energetycznym, bez konieczności współpracy z innymi gminami.</w:t>
      </w:r>
    </w:p>
    <w:p w:rsidR="00E87DB7" w:rsidRDefault="00E87DB7" w:rsidP="00E87DB7">
      <w:pPr>
        <w:spacing w:line="360" w:lineRule="auto"/>
        <w:rPr>
          <w:rFonts w:eastAsia="MS Gothic" w:cstheme="majorBidi"/>
          <w:bCs/>
          <w:szCs w:val="23"/>
        </w:rPr>
      </w:pPr>
      <w:r w:rsidRPr="00E87DB7">
        <w:rPr>
          <w:rFonts w:eastAsia="MS Gothic" w:cstheme="majorBidi"/>
          <w:bCs/>
          <w:szCs w:val="23"/>
        </w:rPr>
        <w:t>Gm</w:t>
      </w:r>
      <w:r w:rsidR="006F68BE">
        <w:rPr>
          <w:rFonts w:eastAsia="MS Gothic" w:cstheme="majorBidi"/>
          <w:bCs/>
          <w:szCs w:val="23"/>
        </w:rPr>
        <w:t>ina Strawczyn</w:t>
      </w:r>
      <w:r w:rsidRPr="00E87DB7">
        <w:rPr>
          <w:rFonts w:eastAsia="MS Gothic" w:cstheme="majorBidi"/>
          <w:bCs/>
          <w:szCs w:val="23"/>
        </w:rPr>
        <w:t xml:space="preserve"> przystąpiła do opracowania dokumentu strategicznego Planu Gospodarki Niskoemisyjnej. W ramach tego dokumentu wdrażane będą działania mające na celu propagowanie energii odnawialnej, ograniczanie niskiej emisji oraz poprawę efektywności energetycznej gminy. Niewykluczone, że planowane działania będą wymagały współpracy między sąsiednimi gminami. Wszystkie ościenne gminy wyraziły wolę w</w:t>
      </w:r>
      <w:r w:rsidR="006F68BE">
        <w:rPr>
          <w:rFonts w:eastAsia="MS Gothic" w:cstheme="majorBidi"/>
          <w:bCs/>
          <w:szCs w:val="23"/>
        </w:rPr>
        <w:t>spółpracy z gminą Strawczyn</w:t>
      </w:r>
      <w:r w:rsidRPr="00E87DB7">
        <w:rPr>
          <w:rFonts w:eastAsia="MS Gothic" w:cstheme="majorBidi"/>
          <w:bCs/>
          <w:szCs w:val="23"/>
        </w:rPr>
        <w:t xml:space="preserve"> w zakresie pokrywania potrzeb energetycznych.</w:t>
      </w:r>
    </w:p>
    <w:p w:rsidR="006F68BE" w:rsidRPr="00647557" w:rsidRDefault="006F68BE" w:rsidP="00647557">
      <w:pPr>
        <w:pStyle w:val="Nagwek1"/>
      </w:pPr>
      <w:bookmarkStart w:id="345" w:name="_Toc427566549"/>
      <w:bookmarkStart w:id="346" w:name="_Toc427675589"/>
      <w:bookmarkStart w:id="347" w:name="_Toc427734989"/>
      <w:r w:rsidRPr="00647557">
        <w:t>Możliwości wykorzystania lokalnych nadwyżek energii</w:t>
      </w:r>
      <w:bookmarkEnd w:id="345"/>
      <w:bookmarkEnd w:id="346"/>
      <w:bookmarkEnd w:id="347"/>
    </w:p>
    <w:p w:rsidR="006F68BE" w:rsidRPr="006F68BE" w:rsidRDefault="006F68BE" w:rsidP="006F68BE">
      <w:pPr>
        <w:spacing w:line="360" w:lineRule="auto"/>
        <w:rPr>
          <w:rFonts w:eastAsia="MS Gothic" w:cstheme="majorBidi"/>
          <w:bCs/>
          <w:szCs w:val="23"/>
        </w:rPr>
      </w:pPr>
      <w:r w:rsidRPr="006F68BE">
        <w:rPr>
          <w:rFonts w:eastAsia="MS Gothic" w:cstheme="majorBidi"/>
          <w:bCs/>
          <w:szCs w:val="23"/>
        </w:rPr>
        <w:t xml:space="preserve">Zgodnie z ustawą Prawo energetyczne „ Projekt założeń ”(art. 19, </w:t>
      </w:r>
      <w:proofErr w:type="spellStart"/>
      <w:r w:rsidRPr="006F68BE">
        <w:rPr>
          <w:rFonts w:eastAsia="MS Gothic" w:cstheme="majorBidi"/>
          <w:bCs/>
          <w:szCs w:val="23"/>
        </w:rPr>
        <w:t>pkt</w:t>
      </w:r>
      <w:proofErr w:type="spellEnd"/>
      <w:r w:rsidRPr="006F68BE">
        <w:rPr>
          <w:rFonts w:eastAsia="MS Gothic" w:cstheme="majorBidi"/>
          <w:bCs/>
          <w:szCs w:val="23"/>
        </w:rPr>
        <w:t xml:space="preserve"> 3.) powinien określać</w:t>
      </w:r>
      <w:r w:rsidRPr="006F68BE">
        <w:rPr>
          <w:rFonts w:eastAsia="MS Gothic" w:cstheme="majorBidi"/>
          <w:bCs/>
          <w:szCs w:val="23"/>
        </w:rPr>
        <w:br/>
        <w:t xml:space="preserve">m.in. wykorzystanie istniejących nadwyżek i lokalnych zasobów paliw i energii, </w:t>
      </w:r>
      <w:r w:rsidRPr="006F68BE">
        <w:rPr>
          <w:rFonts w:eastAsia="MS Gothic" w:cstheme="majorBidi"/>
          <w:bCs/>
          <w:szCs w:val="23"/>
        </w:rPr>
        <w:br/>
        <w:t xml:space="preserve">z uwzględnieniem energii elektrycznej i ciepła wytwarzanych w odnawialnych źródłach energii, energii elektrycznej i ciepła użytkowego wytwarzanych w </w:t>
      </w:r>
      <w:proofErr w:type="spellStart"/>
      <w:r w:rsidRPr="006F68BE">
        <w:rPr>
          <w:rFonts w:eastAsia="MS Gothic" w:cstheme="majorBidi"/>
          <w:bCs/>
          <w:szCs w:val="23"/>
        </w:rPr>
        <w:t>kogeneracji</w:t>
      </w:r>
      <w:proofErr w:type="spellEnd"/>
      <w:r w:rsidRPr="006F68BE">
        <w:rPr>
          <w:rFonts w:eastAsia="MS Gothic" w:cstheme="majorBidi"/>
          <w:bCs/>
          <w:szCs w:val="23"/>
        </w:rPr>
        <w:t xml:space="preserve"> oraz zagospodarowania ciepła odpadowego z instalacji przemysłowych.</w:t>
      </w:r>
    </w:p>
    <w:p w:rsidR="006F68BE" w:rsidRPr="006F68BE" w:rsidRDefault="006F68BE" w:rsidP="006F68BE">
      <w:pPr>
        <w:spacing w:line="360" w:lineRule="auto"/>
        <w:rPr>
          <w:rFonts w:eastAsia="MS Gothic" w:cstheme="majorBidi"/>
          <w:bCs/>
          <w:szCs w:val="23"/>
        </w:rPr>
      </w:pPr>
      <w:r w:rsidRPr="006F68BE">
        <w:rPr>
          <w:rFonts w:eastAsia="MS Gothic" w:cstheme="majorBidi"/>
          <w:bCs/>
          <w:szCs w:val="23"/>
        </w:rPr>
        <w:t xml:space="preserve">Zgodnie z założeniami polityki energetycznej państwa władze gminne, w jak najszerszym zakresie, powinny uwzględnić źródła odnawialne w pozyskiwaniu energii, w tym ich walory </w:t>
      </w:r>
      <w:r w:rsidRPr="006F68BE">
        <w:rPr>
          <w:rFonts w:eastAsia="MS Gothic" w:cstheme="majorBidi"/>
          <w:bCs/>
          <w:szCs w:val="23"/>
        </w:rPr>
        <w:lastRenderedPageBreak/>
        <w:t xml:space="preserve">ekologiczne i gospodarcze dla swojego terenu. Z reguły energetyka odnawialna to niewielkie jednostki wytwórcze zlokalizowane blisko odbiorcy, bazujące na lokalnie dostępnych surowcach, istotne dla podniesienia bezpieczeństwa energetycznego skali lokalnej. Do najważniejszych korzyści wynikających z wykorzystania odnawialnych źródeł energii </w:t>
      </w:r>
      <w:r w:rsidRPr="006F68BE">
        <w:rPr>
          <w:rFonts w:eastAsia="MS Gothic" w:cstheme="majorBidi"/>
          <w:bCs/>
          <w:szCs w:val="23"/>
        </w:rPr>
        <w:br/>
        <w:t xml:space="preserve">zalicza się: </w:t>
      </w:r>
    </w:p>
    <w:p w:rsidR="006F68BE" w:rsidRPr="006F68BE" w:rsidRDefault="006F68BE" w:rsidP="00775439">
      <w:pPr>
        <w:numPr>
          <w:ilvl w:val="0"/>
          <w:numId w:val="38"/>
        </w:numPr>
        <w:spacing w:line="360" w:lineRule="auto"/>
        <w:rPr>
          <w:rFonts w:eastAsia="MS Gothic" w:cstheme="majorBidi"/>
          <w:bCs/>
          <w:szCs w:val="23"/>
        </w:rPr>
      </w:pPr>
      <w:r w:rsidRPr="006F68BE">
        <w:rPr>
          <w:rFonts w:eastAsia="MS Gothic" w:cstheme="majorBidi"/>
          <w:bCs/>
          <w:szCs w:val="23"/>
        </w:rPr>
        <w:t xml:space="preserve">rozwój gospodarczy regionu, aktywizacja lokalnej społeczności – wykorzystanie nadwyżek słomy na cele energetyczne, możliwości zagospodarowania odłogów, ugorów i wprowadzanie dodatkowego źródła dochodów dla rolników, np. poprzez uprawę roślin energetycznych; zwiększenie upraw przemysłowych, powstanie wyspecjalizowanych podmiotów zajmujących się zbiorem lub dostawo biomasy itp.; </w:t>
      </w:r>
    </w:p>
    <w:p w:rsidR="006F68BE" w:rsidRPr="006F68BE" w:rsidRDefault="006F68BE" w:rsidP="00775439">
      <w:pPr>
        <w:numPr>
          <w:ilvl w:val="0"/>
          <w:numId w:val="38"/>
        </w:numPr>
        <w:spacing w:line="360" w:lineRule="auto"/>
        <w:rPr>
          <w:rFonts w:eastAsia="MS Gothic" w:cstheme="majorBidi"/>
          <w:bCs/>
          <w:szCs w:val="23"/>
        </w:rPr>
      </w:pPr>
      <w:r w:rsidRPr="006F68BE">
        <w:rPr>
          <w:rFonts w:eastAsia="MS Gothic" w:cstheme="majorBidi"/>
          <w:bCs/>
          <w:szCs w:val="23"/>
        </w:rPr>
        <w:t>ograniczenie emisji zanieczyszczeń, w szczególności dwutlenku węgla – wdrożenie przedsięwzięć opartych na wykorzystaniu paliw ekologicznych może przynieść wymierne korzyści z zakresu ochrony środowiska, zmiana paliwa w dużych kotłowniach czy likwidacja indywidualnych źródeł węglowych, powodujących „niską emisję” zmniejszy uciążliwość życia mieszkańców;</w:t>
      </w:r>
    </w:p>
    <w:p w:rsidR="006F68BE" w:rsidRPr="006F68BE" w:rsidRDefault="006F68BE" w:rsidP="00775439">
      <w:pPr>
        <w:numPr>
          <w:ilvl w:val="0"/>
          <w:numId w:val="38"/>
        </w:numPr>
        <w:spacing w:line="360" w:lineRule="auto"/>
        <w:rPr>
          <w:rFonts w:eastAsia="MS Gothic" w:cstheme="majorBidi"/>
          <w:bCs/>
          <w:szCs w:val="23"/>
        </w:rPr>
      </w:pPr>
      <w:r w:rsidRPr="006F68BE">
        <w:rPr>
          <w:rFonts w:eastAsia="MS Gothic" w:cstheme="majorBidi"/>
          <w:bCs/>
          <w:szCs w:val="23"/>
        </w:rPr>
        <w:t xml:space="preserve">obniżenie kosztów pozyskania energii – odnawialne źródła charakteryzują się niższymi kosztami zmiennymi, np. koszt zł/GJ biomasy (drewna, słomy) jest niższy niż węgla, gazu czy oleju opałowego; </w:t>
      </w:r>
    </w:p>
    <w:p w:rsidR="006F68BE" w:rsidRPr="006F68BE" w:rsidRDefault="006F68BE" w:rsidP="00775439">
      <w:pPr>
        <w:numPr>
          <w:ilvl w:val="0"/>
          <w:numId w:val="38"/>
        </w:numPr>
        <w:spacing w:line="360" w:lineRule="auto"/>
        <w:rPr>
          <w:rFonts w:eastAsia="MS Gothic" w:cstheme="majorBidi"/>
          <w:bCs/>
          <w:szCs w:val="23"/>
        </w:rPr>
      </w:pPr>
      <w:r w:rsidRPr="006F68BE">
        <w:rPr>
          <w:rFonts w:eastAsia="MS Gothic" w:cstheme="majorBidi"/>
          <w:bCs/>
          <w:szCs w:val="23"/>
        </w:rPr>
        <w:t xml:space="preserve">powstanie dodatkowych miejsc pracy na poziomie lokalnym – zatrudnienie przy produkcji i przygotowaniu </w:t>
      </w:r>
      <w:proofErr w:type="spellStart"/>
      <w:r w:rsidRPr="006F68BE">
        <w:rPr>
          <w:rFonts w:eastAsia="MS Gothic" w:cstheme="majorBidi"/>
          <w:bCs/>
          <w:szCs w:val="23"/>
        </w:rPr>
        <w:t>biopaliw</w:t>
      </w:r>
      <w:proofErr w:type="spellEnd"/>
      <w:r w:rsidRPr="006F68BE">
        <w:rPr>
          <w:rFonts w:eastAsia="MS Gothic" w:cstheme="majorBidi"/>
          <w:bCs/>
          <w:szCs w:val="23"/>
        </w:rPr>
        <w:t xml:space="preserve">, w obsłudze przedsiębiorstw inwestujących w OZE daje kilkakrotnie więcej miejsc pracy niż w energetyce tradycyjnej; </w:t>
      </w:r>
    </w:p>
    <w:p w:rsidR="006F68BE" w:rsidRPr="006F68BE" w:rsidRDefault="006F68BE" w:rsidP="00775439">
      <w:pPr>
        <w:numPr>
          <w:ilvl w:val="0"/>
          <w:numId w:val="38"/>
        </w:numPr>
        <w:spacing w:line="360" w:lineRule="auto"/>
        <w:rPr>
          <w:rFonts w:eastAsia="MS Gothic" w:cstheme="majorBidi"/>
          <w:bCs/>
          <w:szCs w:val="23"/>
        </w:rPr>
      </w:pPr>
      <w:r w:rsidRPr="006F68BE">
        <w:rPr>
          <w:rFonts w:eastAsia="MS Gothic" w:cstheme="majorBidi"/>
          <w:bCs/>
          <w:szCs w:val="23"/>
        </w:rPr>
        <w:t xml:space="preserve">promowanie regionu jako czystego ekologicznie – w szczególności ma to znaczenie </w:t>
      </w:r>
      <w:r w:rsidRPr="006F68BE">
        <w:rPr>
          <w:rFonts w:eastAsia="MS Gothic" w:cstheme="majorBidi"/>
          <w:bCs/>
          <w:szCs w:val="23"/>
        </w:rPr>
        <w:br/>
        <w:t xml:space="preserve">w regionach, gdzie przewiduje się rozwój funkcji rekreacyjno-wypoczynkowych; </w:t>
      </w:r>
    </w:p>
    <w:p w:rsidR="006F68BE" w:rsidRPr="00163FBA" w:rsidRDefault="006F68BE" w:rsidP="00775439">
      <w:pPr>
        <w:numPr>
          <w:ilvl w:val="0"/>
          <w:numId w:val="38"/>
        </w:numPr>
        <w:spacing w:line="360" w:lineRule="auto"/>
        <w:rPr>
          <w:rFonts w:eastAsia="MS Gothic" w:cstheme="majorBidi"/>
          <w:bCs/>
          <w:szCs w:val="23"/>
        </w:rPr>
      </w:pPr>
      <w:r w:rsidRPr="006F68BE">
        <w:rPr>
          <w:rFonts w:eastAsia="MS Gothic" w:cstheme="majorBidi"/>
          <w:bCs/>
          <w:szCs w:val="23"/>
        </w:rPr>
        <w:t xml:space="preserve">wzrost bezpieczeństwa w skali lokalnej i do poprawy zaopatrzenie w energię do wzmacniania bezpieczeństwa w skali lokalnej i do poprawy zaopatrzenia w energię w szczególności terenów o słabej infrastrukturze energetycznej, np. rozwój lokalnego systemu rozdzielczego energii elektrycznej związanego z wprowadzeniem mocy </w:t>
      </w:r>
      <w:r w:rsidRPr="006F68BE">
        <w:rPr>
          <w:rFonts w:eastAsia="MS Gothic" w:cstheme="majorBidi"/>
          <w:bCs/>
          <w:szCs w:val="23"/>
        </w:rPr>
        <w:br/>
        <w:t>z małych elektrowni wodnych.</w:t>
      </w:r>
    </w:p>
    <w:p w:rsidR="006F68BE" w:rsidRPr="00647557" w:rsidRDefault="006F68BE" w:rsidP="00647557">
      <w:pPr>
        <w:pStyle w:val="Nagwek2"/>
      </w:pPr>
      <w:bookmarkStart w:id="348" w:name="_Toc427566550"/>
      <w:bookmarkStart w:id="349" w:name="_Toc427675590"/>
      <w:bookmarkStart w:id="350" w:name="_Toc427734990"/>
      <w:r w:rsidRPr="00647557">
        <w:t>Energetyka wodna</w:t>
      </w:r>
      <w:bookmarkEnd w:id="348"/>
      <w:bookmarkEnd w:id="349"/>
      <w:bookmarkEnd w:id="350"/>
    </w:p>
    <w:p w:rsidR="006F68BE" w:rsidRDefault="006F68BE" w:rsidP="006F68BE">
      <w:pPr>
        <w:spacing w:line="360" w:lineRule="auto"/>
      </w:pPr>
      <w:r w:rsidRPr="00F75A87">
        <w:t>Mała energetyka wodna – „MEW” obejmuje pozyskanie energii z cieków wodnych. Podstawowymi parametrami dla doboru obiektu są sp</w:t>
      </w:r>
      <w:r>
        <w:t xml:space="preserve">ad w [m] i natężenie przepływu </w:t>
      </w:r>
      <w:r>
        <w:br/>
      </w:r>
      <w:r w:rsidRPr="00F75A87">
        <w:t>w [m</w:t>
      </w:r>
      <w:r w:rsidRPr="00F75A87">
        <w:rPr>
          <w:vertAlign w:val="superscript"/>
        </w:rPr>
        <w:t>3</w:t>
      </w:r>
      <w:r w:rsidRPr="00F75A87">
        <w:t xml:space="preserve">/s]. Rozwój elektrowni wodnych jest ograniczony warunkami prawnymi, lokalizacyjnymi, wymogami terenowymi i geomorfologicznymi oraz potencjałem </w:t>
      </w:r>
      <w:r w:rsidRPr="00F75A87">
        <w:lastRenderedPageBreak/>
        <w:t xml:space="preserve">kapitałowym inwestora. Najwięcej funduszy pochłania budowa obiektów hydrotechnicznych piętrzących wodę (jaz, zapora). Charakterystyczne dla elektrowni wodnych są znikome koszty eksploatacji (wynoszące średnio około 0,5÷1% łącznych nakładów inwestycyjnych rocznie) oraz wysoka sprawność energetyczna (90÷95%) (źródło: „Małe elektrownie wodne </w:t>
      </w:r>
      <w:r>
        <w:br/>
      </w:r>
      <w:r w:rsidRPr="00F75A87">
        <w:t>w gospodar</w:t>
      </w:r>
      <w:r>
        <w:t xml:space="preserve">ce i środowisku przyrodniczym” </w:t>
      </w:r>
      <w:r w:rsidRPr="00F75A87">
        <w:t xml:space="preserve">(J. </w:t>
      </w:r>
      <w:proofErr w:type="spellStart"/>
      <w:r w:rsidRPr="00F75A87">
        <w:t>Plutecki</w:t>
      </w:r>
      <w:proofErr w:type="spellEnd"/>
      <w:r w:rsidRPr="00F75A87">
        <w:t>).</w:t>
      </w:r>
    </w:p>
    <w:p w:rsidR="00D81D3F" w:rsidRDefault="00D81D3F" w:rsidP="00D81D3F">
      <w:pPr>
        <w:pStyle w:val="Nagwek2"/>
      </w:pPr>
      <w:bookmarkStart w:id="351" w:name="_Toc427566551"/>
      <w:bookmarkStart w:id="352" w:name="_Toc427675591"/>
      <w:bookmarkStart w:id="353" w:name="_Toc427734991"/>
      <w:r>
        <w:t>Energetyka słoneczna</w:t>
      </w:r>
      <w:bookmarkEnd w:id="351"/>
      <w:bookmarkEnd w:id="352"/>
      <w:bookmarkEnd w:id="353"/>
    </w:p>
    <w:p w:rsidR="00D81D3F" w:rsidRDefault="00A93FFF" w:rsidP="006F68BE">
      <w:pPr>
        <w:spacing w:line="360" w:lineRule="auto"/>
        <w:rPr>
          <w:lang w:eastAsia="pl-PL"/>
        </w:rPr>
      </w:pPr>
      <w:r>
        <w:rPr>
          <w:noProof/>
          <w:lang w:eastAsia="pl-PL"/>
        </w:rPr>
        <w:pict>
          <v:shape id="Text Box 11" o:spid="_x0000_s1028" type="#_x0000_t202" style="position:absolute;left:0;text-align:left;margin-left:-.35pt;margin-top:482.15pt;width:462pt;height:.0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" stroked="f">
            <v:textbox style="mso-fit-shape-to-text:t" inset="0,0,0,0">
              <w:txbxContent>
                <w:p w:rsidR="00871648" w:rsidRPr="00647557" w:rsidRDefault="00871648" w:rsidP="004E3043">
                  <w:pPr>
                    <w:pStyle w:val="Legenda"/>
                    <w:jc w:val="right"/>
                    <w:rPr>
                      <w:rFonts w:ascii="Trebuchet MS" w:eastAsiaTheme="minorHAnsi" w:hAnsi="Trebuchet MS"/>
                      <w:noProof/>
                      <w:color w:val="auto"/>
                    </w:rPr>
                  </w:pPr>
                  <w:bookmarkStart w:id="354" w:name="_Toc427675264"/>
                  <w:r w:rsidRPr="00647557">
                    <w:rPr>
                      <w:color w:val="auto"/>
                    </w:rPr>
                    <w:t xml:space="preserve">Mapa </w:t>
                  </w:r>
                  <w:r w:rsidRPr="00647557">
                    <w:rPr>
                      <w:color w:val="auto"/>
                    </w:rPr>
                    <w:fldChar w:fldCharType="begin"/>
                  </w:r>
                  <w:r w:rsidRPr="00647557">
                    <w:rPr>
                      <w:color w:val="auto"/>
                    </w:rPr>
                    <w:instrText xml:space="preserve"> SEQ Mapa \* ARABIC </w:instrText>
                  </w:r>
                  <w:r w:rsidRPr="00647557">
                    <w:rPr>
                      <w:color w:val="auto"/>
                    </w:rPr>
                    <w:fldChar w:fldCharType="separate"/>
                  </w:r>
                  <w:r>
                    <w:rPr>
                      <w:noProof/>
                      <w:color w:val="auto"/>
                    </w:rPr>
                    <w:t>9</w:t>
                  </w:r>
                  <w:r w:rsidRPr="00647557">
                    <w:rPr>
                      <w:color w:val="auto"/>
                    </w:rPr>
                    <w:fldChar w:fldCharType="end"/>
                  </w:r>
                  <w:r w:rsidRPr="00647557">
                    <w:rPr>
                      <w:color w:val="auto"/>
                    </w:rPr>
                    <w:t>. Potencjał wykorzystania energii słonecznej na terenie Europy (źródło: http://www.zielonaenergia.eco.pl)</w:t>
                  </w:r>
                  <w:bookmarkEnd w:id="354"/>
                </w:p>
              </w:txbxContent>
            </v:textbox>
            <w10:wrap type="square"/>
          </v:shape>
        </w:pict>
      </w:r>
      <w:r w:rsidR="00D81D3F" w:rsidRPr="008A1F5F">
        <w:rPr>
          <w:rFonts w:ascii="Trebuchet MS" w:hAnsi="Trebuchet MS"/>
          <w:noProof/>
          <w:lang w:eastAsia="pl-PL"/>
        </w:rPr>
        <w:drawing>
          <wp:anchor distT="0" distB="0" distL="114300" distR="114300" simplePos="0" relativeHeight="251667456" behindDoc="0" locked="0" layoutInCell="1" allowOverlap="1">
            <wp:simplePos x="0" y="0"/>
            <wp:positionH relativeFrom="column">
              <wp:posOffset>-4445</wp:posOffset>
            </wp:positionH>
            <wp:positionV relativeFrom="paragraph">
              <wp:posOffset>608330</wp:posOffset>
            </wp:positionV>
            <wp:extent cx="5867400" cy="5457825"/>
            <wp:effectExtent l="19050" t="0" r="0" b="0"/>
            <wp:wrapSquare wrapText="bothSides"/>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europa nasłonecznienie.jpg"/>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867400" cy="5457825"/>
                    </a:xfrm>
                    <a:prstGeom prst="rect">
                      <a:avLst/>
                    </a:prstGeom>
                  </pic:spPr>
                </pic:pic>
              </a:graphicData>
            </a:graphic>
          </wp:anchor>
        </w:drawing>
      </w:r>
      <w:r w:rsidR="00D81D3F" w:rsidRPr="0035724F">
        <w:rPr>
          <w:lang w:eastAsia="pl-PL"/>
        </w:rPr>
        <w:t xml:space="preserve">Krajowy potencjał wykorzystania energii słonecznej jest zbliżony do tego jaki szacuje się </w:t>
      </w:r>
      <w:r w:rsidR="00D81D3F">
        <w:rPr>
          <w:lang w:eastAsia="pl-PL"/>
        </w:rPr>
        <w:br/>
      </w:r>
      <w:r w:rsidR="00D81D3F" w:rsidRPr="0035724F">
        <w:rPr>
          <w:lang w:eastAsia="pl-PL"/>
        </w:rPr>
        <w:t xml:space="preserve">w krajach sąsiadujących – Niemczech, Republice Czeskiej i Słowacji </w:t>
      </w:r>
      <w:r w:rsidR="00D81D3F">
        <w:rPr>
          <w:lang w:eastAsia="pl-PL"/>
        </w:rPr>
        <w:t>(</w:t>
      </w:r>
      <w:r w:rsidR="00647557">
        <w:rPr>
          <w:lang w:eastAsia="pl-PL"/>
        </w:rPr>
        <w:t>Mapa 9</w:t>
      </w:r>
      <w:r w:rsidR="00D81D3F" w:rsidRPr="0035724F">
        <w:rPr>
          <w:lang w:eastAsia="pl-PL"/>
        </w:rPr>
        <w:t>).</w:t>
      </w:r>
    </w:p>
    <w:p w:rsidR="00D81D3F" w:rsidRPr="0035724F" w:rsidRDefault="00D81D3F" w:rsidP="00D81D3F">
      <w:pPr>
        <w:pStyle w:val="Legenda"/>
        <w:spacing w:line="360" w:lineRule="auto"/>
        <w:rPr>
          <w:noProof/>
          <w:color w:val="auto"/>
          <w:sz w:val="22"/>
          <w:lang w:eastAsia="pl-PL"/>
        </w:rPr>
      </w:pPr>
      <w:r w:rsidRPr="0035724F">
        <w:rPr>
          <w:b w:val="0"/>
          <w:color w:val="auto"/>
          <w:sz w:val="22"/>
          <w:lang w:eastAsia="pl-PL"/>
        </w:rPr>
        <w:lastRenderedPageBreak/>
        <w:t>W kraju najlepszymi warunkami do lokowania instalacji fotowoltaicznych charakteryzują się południowo wschodnie województwa – określa się je mianem polskim biegunem ciepła.</w:t>
      </w:r>
    </w:p>
    <w:p w:rsidR="00647557" w:rsidRDefault="00D81D3F" w:rsidP="00647557">
      <w:pPr>
        <w:keepNext/>
        <w:spacing w:line="360" w:lineRule="auto"/>
      </w:pPr>
      <w:r w:rsidRPr="00D81D3F">
        <w:rPr>
          <w:rStyle w:val="Nagwek2Znak"/>
          <w:b w:val="0"/>
          <w:bCs/>
          <w:noProof/>
          <w:sz w:val="22"/>
          <w:szCs w:val="23"/>
          <w:lang w:eastAsia="pl-PL"/>
        </w:rPr>
        <w:drawing>
          <wp:inline distT="0" distB="0" distL="0" distR="0">
            <wp:extent cx="4984640" cy="5273749"/>
            <wp:effectExtent l="0" t="0" r="6985" b="3175"/>
            <wp:docPr id="47" name="Obraz 47" descr="http://www.inzynierbudownictwa.pl/images/magda/ib_07_13/ko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nzynierbudownictwa.pl/images/magda/ib_07_13/kol4.jpg"/>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94881" cy="5284584"/>
                    </a:xfrm>
                    <a:prstGeom prst="rect">
                      <a:avLst/>
                    </a:prstGeom>
                    <a:noFill/>
                    <a:ln>
                      <a:noFill/>
                    </a:ln>
                  </pic:spPr>
                </pic:pic>
              </a:graphicData>
            </a:graphic>
          </wp:inline>
        </w:drawing>
      </w:r>
    </w:p>
    <w:p w:rsidR="00E87DB7" w:rsidRPr="00647557" w:rsidRDefault="00647557" w:rsidP="004E3043">
      <w:pPr>
        <w:pStyle w:val="Legenda"/>
        <w:jc w:val="right"/>
        <w:rPr>
          <w:rStyle w:val="Nagwek2Znak"/>
          <w:bCs w:val="0"/>
          <w:color w:val="auto"/>
          <w:sz w:val="22"/>
          <w:szCs w:val="23"/>
        </w:rPr>
      </w:pPr>
      <w:bookmarkStart w:id="355" w:name="_Toc427675265"/>
      <w:r w:rsidRPr="00647557">
        <w:rPr>
          <w:color w:val="auto"/>
        </w:rPr>
        <w:t xml:space="preserve">Mapa </w:t>
      </w:r>
      <w:r w:rsidR="00A93FFF" w:rsidRPr="00647557">
        <w:rPr>
          <w:color w:val="auto"/>
        </w:rPr>
        <w:fldChar w:fldCharType="begin"/>
      </w:r>
      <w:r w:rsidRPr="00647557">
        <w:rPr>
          <w:color w:val="auto"/>
        </w:rPr>
        <w:instrText xml:space="preserve"> SEQ Mapa \* ARABIC </w:instrText>
      </w:r>
      <w:r w:rsidR="00A93FFF" w:rsidRPr="00647557">
        <w:rPr>
          <w:color w:val="auto"/>
        </w:rPr>
        <w:fldChar w:fldCharType="separate"/>
      </w:r>
      <w:r w:rsidR="00871648">
        <w:rPr>
          <w:noProof/>
          <w:color w:val="auto"/>
        </w:rPr>
        <w:t>10</w:t>
      </w:r>
      <w:r w:rsidR="00A93FFF" w:rsidRPr="00647557">
        <w:rPr>
          <w:color w:val="auto"/>
        </w:rPr>
        <w:fldChar w:fldCharType="end"/>
      </w:r>
      <w:r w:rsidRPr="00647557">
        <w:rPr>
          <w:color w:val="auto"/>
        </w:rPr>
        <w:t xml:space="preserve">. Potencjał wykorzystania energii słonecznej na terenie Polski (źródło: </w:t>
      </w:r>
      <w:proofErr w:type="spellStart"/>
      <w:r w:rsidRPr="00647557">
        <w:rPr>
          <w:color w:val="auto"/>
        </w:rPr>
        <w:t>IMiGW</w:t>
      </w:r>
      <w:proofErr w:type="spellEnd"/>
      <w:r w:rsidRPr="00647557">
        <w:rPr>
          <w:color w:val="auto"/>
        </w:rPr>
        <w:t>)</w:t>
      </w:r>
      <w:bookmarkEnd w:id="355"/>
    </w:p>
    <w:p w:rsidR="00D81D3F" w:rsidRPr="00C85136" w:rsidRDefault="00D81D3F" w:rsidP="00D81D3F">
      <w:pPr>
        <w:pStyle w:val="Legenda"/>
        <w:spacing w:line="360" w:lineRule="auto"/>
        <w:jc w:val="center"/>
        <w:rPr>
          <w:color w:val="auto"/>
        </w:rPr>
      </w:pPr>
    </w:p>
    <w:p w:rsidR="00D81D3F" w:rsidRPr="0035724F" w:rsidRDefault="00D81D3F" w:rsidP="00D81D3F">
      <w:pPr>
        <w:spacing w:line="360" w:lineRule="auto"/>
        <w:rPr>
          <w:lang w:eastAsia="pl-PL"/>
        </w:rPr>
      </w:pPr>
      <w:r w:rsidRPr="0035724F">
        <w:rPr>
          <w:lang w:eastAsia="pl-PL"/>
        </w:rPr>
        <w:t>Gęstość promieniowani</w:t>
      </w:r>
      <w:r w:rsidR="00C85136">
        <w:rPr>
          <w:lang w:eastAsia="pl-PL"/>
        </w:rPr>
        <w:t>a słonecznego na terenie gminy Strawczyn</w:t>
      </w:r>
      <w:r w:rsidRPr="0035724F">
        <w:rPr>
          <w:lang w:eastAsia="pl-PL"/>
        </w:rPr>
        <w:t xml:space="preserve"> wynosi </w:t>
      </w:r>
      <w:r>
        <w:rPr>
          <w:lang w:eastAsia="pl-PL"/>
        </w:rPr>
        <w:br/>
      </w:r>
      <w:r w:rsidRPr="0035724F">
        <w:rPr>
          <w:lang w:eastAsia="pl-PL"/>
        </w:rPr>
        <w:t xml:space="preserve">ok. </w:t>
      </w:r>
      <w:r>
        <w:rPr>
          <w:lang w:eastAsia="pl-PL"/>
        </w:rPr>
        <w:t xml:space="preserve">1048 </w:t>
      </w:r>
      <w:proofErr w:type="spellStart"/>
      <w:r w:rsidRPr="0035724F">
        <w:rPr>
          <w:lang w:eastAsia="pl-PL"/>
        </w:rPr>
        <w:t>kWh</w:t>
      </w:r>
      <w:proofErr w:type="spellEnd"/>
      <w:r w:rsidRPr="0035724F">
        <w:rPr>
          <w:lang w:eastAsia="pl-PL"/>
        </w:rPr>
        <w:t>/m</w:t>
      </w:r>
      <w:r w:rsidRPr="0035724F">
        <w:rPr>
          <w:vertAlign w:val="superscript"/>
          <w:lang w:eastAsia="pl-PL"/>
        </w:rPr>
        <w:t>2</w:t>
      </w:r>
      <w:r w:rsidR="00647557">
        <w:rPr>
          <w:lang w:eastAsia="pl-PL"/>
        </w:rPr>
        <w:t>Mapa 10</w:t>
      </w:r>
      <w:r w:rsidRPr="0035724F">
        <w:rPr>
          <w:lang w:eastAsia="pl-PL"/>
        </w:rPr>
        <w:t>). Jest to wartość wskazująca maksymalny potencjał produkcji energii w przypadku bezstratnej konwersji energii słonecznej na energię elektryczną. Sprawność modułów dostępnych na rynku to jednakże ~ 15%, stąd też szacunkowy uzysk energii z 1 m</w:t>
      </w:r>
      <w:r w:rsidRPr="0035724F">
        <w:rPr>
          <w:vertAlign w:val="superscript"/>
          <w:lang w:eastAsia="pl-PL"/>
        </w:rPr>
        <w:t>2</w:t>
      </w:r>
      <w:r w:rsidRPr="0035724F">
        <w:rPr>
          <w:lang w:eastAsia="pl-PL"/>
        </w:rPr>
        <w:t xml:space="preserve"> instalacji fotowoltaicznej wynosi 165 </w:t>
      </w:r>
      <w:proofErr w:type="spellStart"/>
      <w:r w:rsidRPr="0035724F">
        <w:rPr>
          <w:lang w:eastAsia="pl-PL"/>
        </w:rPr>
        <w:t>kWh</w:t>
      </w:r>
      <w:proofErr w:type="spellEnd"/>
      <w:r w:rsidRPr="0035724F">
        <w:rPr>
          <w:lang w:eastAsia="pl-PL"/>
        </w:rPr>
        <w:t>/rok i jest to jeden z najwyższych rezultatów jakie można odnotować w skali krajowej.</w:t>
      </w:r>
    </w:p>
    <w:p w:rsidR="00FB6639" w:rsidRDefault="00C85136" w:rsidP="00C85136">
      <w:pPr>
        <w:tabs>
          <w:tab w:val="left" w:pos="1470"/>
        </w:tabs>
        <w:spacing w:line="360" w:lineRule="auto"/>
        <w:rPr>
          <w:lang w:eastAsia="pl-PL"/>
        </w:rPr>
      </w:pPr>
      <w:r w:rsidRPr="0035724F">
        <w:rPr>
          <w:lang w:eastAsia="pl-PL"/>
        </w:rPr>
        <w:t xml:space="preserve">Moc instalacji fotowoltaicznej rekomendowanej dla zasilania domu jednorodzinnego to </w:t>
      </w:r>
      <w:r w:rsidRPr="0035724F">
        <w:rPr>
          <w:lang w:eastAsia="pl-PL"/>
        </w:rPr>
        <w:br/>
        <w:t xml:space="preserve">4 </w:t>
      </w:r>
      <w:proofErr w:type="spellStart"/>
      <w:r w:rsidRPr="0035724F">
        <w:rPr>
          <w:lang w:eastAsia="pl-PL"/>
        </w:rPr>
        <w:t>kW</w:t>
      </w:r>
      <w:proofErr w:type="spellEnd"/>
      <w:r w:rsidRPr="0035724F">
        <w:rPr>
          <w:lang w:eastAsia="pl-PL"/>
        </w:rPr>
        <w:t xml:space="preserve"> (16 modułów fotowoltaicznych o łącznej powierzchni ok. 25,6 m</w:t>
      </w:r>
      <w:r w:rsidRPr="0035724F">
        <w:rPr>
          <w:vertAlign w:val="superscript"/>
          <w:lang w:eastAsia="pl-PL"/>
        </w:rPr>
        <w:t>2</w:t>
      </w:r>
      <w:r w:rsidRPr="0035724F">
        <w:rPr>
          <w:lang w:eastAsia="pl-PL"/>
        </w:rPr>
        <w:t xml:space="preserve">). Roczny szacowany uzysk energii to 4 224 </w:t>
      </w:r>
      <w:proofErr w:type="spellStart"/>
      <w:r w:rsidRPr="0035724F">
        <w:rPr>
          <w:lang w:eastAsia="pl-PL"/>
        </w:rPr>
        <w:t>kWh</w:t>
      </w:r>
      <w:proofErr w:type="spellEnd"/>
      <w:r w:rsidRPr="0035724F">
        <w:rPr>
          <w:lang w:eastAsia="pl-PL"/>
        </w:rPr>
        <w:t>. Koszt budowy wynosi ok. 8 000 zł/</w:t>
      </w:r>
      <w:proofErr w:type="spellStart"/>
      <w:r w:rsidRPr="0035724F">
        <w:rPr>
          <w:lang w:eastAsia="pl-PL"/>
        </w:rPr>
        <w:t>kW</w:t>
      </w:r>
      <w:proofErr w:type="spellEnd"/>
      <w:r w:rsidRPr="0035724F">
        <w:rPr>
          <w:lang w:eastAsia="pl-PL"/>
        </w:rPr>
        <w:t xml:space="preserve"> zainstalowanej mocy.</w:t>
      </w:r>
    </w:p>
    <w:p w:rsidR="00C85136" w:rsidRPr="00C85136" w:rsidRDefault="00C85136" w:rsidP="00C85136">
      <w:pPr>
        <w:tabs>
          <w:tab w:val="left" w:pos="1470"/>
        </w:tabs>
        <w:spacing w:line="360" w:lineRule="auto"/>
      </w:pPr>
      <w:r w:rsidRPr="00C85136">
        <w:lastRenderedPageBreak/>
        <w:t>Żywotność modułów fotowoltaicznych deklarowana przez producentów wynosi od 20 do 25 lat, a produkcja energii poza okresowymi przeglądami odbywa się całkowicie bezobsługowo.</w:t>
      </w:r>
    </w:p>
    <w:p w:rsidR="00C85136" w:rsidRPr="00C85136" w:rsidRDefault="00C85136" w:rsidP="00C85136">
      <w:pPr>
        <w:tabs>
          <w:tab w:val="left" w:pos="1470"/>
        </w:tabs>
        <w:spacing w:line="360" w:lineRule="auto"/>
      </w:pPr>
      <w:r w:rsidRPr="00C85136">
        <w:t xml:space="preserve">Energia wytworzona w instalacji wykorzystywana jest w pierwszej kolejności na pokrycie potrzeb obiektu, do którego jest przyłączona, a nadwyżki energii mogą zostać odsprzedane do sieci elektroenergetycznej. Jak pokazuje jednakże dobowy wykres pomiaru parametrów pracy małej instalacji fotowoltaicznej i wiatrowej, źródła te charakteryzują się bardzo dużą zmiennością wytwarzanej energii elektrycznej, stąd też mogą być traktowane jedynie jako wspomaganie zasilania sieciowego. </w:t>
      </w:r>
    </w:p>
    <w:p w:rsidR="00C85136" w:rsidRPr="00C85136" w:rsidRDefault="00C85136" w:rsidP="00C85136">
      <w:pPr>
        <w:tabs>
          <w:tab w:val="left" w:pos="1470"/>
        </w:tabs>
        <w:spacing w:line="360" w:lineRule="auto"/>
      </w:pPr>
      <w:r w:rsidRPr="00C85136">
        <w:t xml:space="preserve">Stworzenie sytemu autonomicznego dla zasilania obiektu niepodłączonego do sieci elektroenergetycznego wymagałoby natomiast wykorzystania systemu akumulacji energii – może on jednakże zwiększyć koszt budowy systemu nawet o 50%. </w:t>
      </w:r>
    </w:p>
    <w:p w:rsidR="00C85136" w:rsidRPr="00C85136" w:rsidRDefault="00C85136" w:rsidP="00C85136">
      <w:pPr>
        <w:tabs>
          <w:tab w:val="left" w:pos="1470"/>
        </w:tabs>
        <w:spacing w:line="360" w:lineRule="auto"/>
      </w:pPr>
      <w:r w:rsidRPr="00C85136">
        <w:t xml:space="preserve">Oprócz konwersji na energię elektryczną, energia słoneczna może zostać wykorzystana za pośrednictwem instalacji kolektorów słonecznych do podgrzewania ciepłej wody użytkowej oraz wspomagania systemów ogrzewania. Ponieważ w systemach tych brak możliwości odsprzedania nadwyżek wytworzonego ciepła, tak jak ma to miejsce </w:t>
      </w:r>
      <w:r w:rsidRPr="00C85136">
        <w:br/>
        <w:t xml:space="preserve">w przypadku energii elektrycznej oddawanej do sieci, stąd też każda inwestycja musi zostać dostosowana do szacunkowego zużycia wody w obiekcie – szczególnie ważny jest dobór wielkości zasobnika na podgrzewaną wodę. </w:t>
      </w:r>
    </w:p>
    <w:p w:rsidR="00C85136" w:rsidRPr="00C85136" w:rsidRDefault="00C85136" w:rsidP="00C85136">
      <w:pPr>
        <w:tabs>
          <w:tab w:val="left" w:pos="1470"/>
        </w:tabs>
        <w:spacing w:line="360" w:lineRule="auto"/>
      </w:pPr>
      <w:r w:rsidRPr="00C85136">
        <w:t>Szacowana powierzchnia czynna kolektorów dedykowana dla zasilenia domu jednorodzinnego wynosi 5 m</w:t>
      </w:r>
      <w:r w:rsidRPr="00C85136">
        <w:rPr>
          <w:vertAlign w:val="superscript"/>
        </w:rPr>
        <w:t>2</w:t>
      </w:r>
      <w:r w:rsidRPr="00C85136">
        <w:t xml:space="preserve">. Powierzchnia ta pozwoli wygenerować rocznie ok. </w:t>
      </w:r>
      <w:r w:rsidRPr="00C85136">
        <w:br/>
        <w:t xml:space="preserve">4 675 </w:t>
      </w:r>
      <w:proofErr w:type="spellStart"/>
      <w:r w:rsidRPr="00C85136">
        <w:t>kWh</w:t>
      </w:r>
      <w:proofErr w:type="spellEnd"/>
      <w:r w:rsidRPr="00C85136">
        <w:t xml:space="preserve"> energii cieplnej. Koszt kompleksowej budowy takiej instalacji to ok. </w:t>
      </w:r>
      <w:r w:rsidRPr="00C85136">
        <w:br/>
        <w:t>14 000 zł.</w:t>
      </w:r>
    </w:p>
    <w:p w:rsidR="00C85136" w:rsidRPr="00647557" w:rsidRDefault="00C85136" w:rsidP="00647557">
      <w:pPr>
        <w:pStyle w:val="Nagwek2"/>
      </w:pPr>
      <w:bookmarkStart w:id="356" w:name="_Toc427566552"/>
      <w:bookmarkStart w:id="357" w:name="_Toc427675592"/>
      <w:bookmarkStart w:id="358" w:name="_Toc427734992"/>
      <w:r w:rsidRPr="00647557">
        <w:t>Energetyka geotermalna</w:t>
      </w:r>
      <w:bookmarkEnd w:id="356"/>
      <w:bookmarkEnd w:id="357"/>
      <w:bookmarkEnd w:id="358"/>
    </w:p>
    <w:p w:rsidR="00C85136" w:rsidRPr="00C85136" w:rsidRDefault="00C85136" w:rsidP="00C85136">
      <w:pPr>
        <w:tabs>
          <w:tab w:val="left" w:pos="1470"/>
        </w:tabs>
        <w:spacing w:line="360" w:lineRule="auto"/>
      </w:pPr>
      <w:r w:rsidRPr="00C85136">
        <w:t xml:space="preserve">Źródłem energii geotermalnej jest wnętrze Ziemi o temperaturze około 5 400°C, generujące przepływ ciepła w kierunku powierzchni. W celu wydobycia wód geotermalnych na powierzchnię wykonuje się odwierty do głębokości zalegania tych wód. W pewnej odległości od otworu czerpalnego wykonuje się drugi otwór, którym wodę geotermalną po odebraniu od niej ciepła, wtłacza się z powrotem do złoża. Wody geotermalne są z reguły mocno zasolone, jest to powodem szczególnie trudnych warunków pracy wymienników ciepła i innych elementów armatury instalacji geotermalnych. Wody głębinowe mają różny poziom temperatur. Z uwagi na zróżnicowany poziom energetyczny płynów geotermalnych </w:t>
      </w:r>
      <w:r w:rsidRPr="00C85136">
        <w:br/>
        <w:t xml:space="preserve">(w porównaniu do klasycznych kotłowni) można je wykorzystywać: </w:t>
      </w:r>
    </w:p>
    <w:p w:rsidR="00C85136" w:rsidRPr="00C85136" w:rsidRDefault="00C85136" w:rsidP="00775439">
      <w:pPr>
        <w:numPr>
          <w:ilvl w:val="0"/>
          <w:numId w:val="39"/>
        </w:numPr>
        <w:tabs>
          <w:tab w:val="left" w:pos="1470"/>
        </w:tabs>
        <w:spacing w:line="360" w:lineRule="auto"/>
      </w:pPr>
      <w:r w:rsidRPr="00C85136">
        <w:t xml:space="preserve">do ciepłownictwa (m.in.: ogrzewanie niskotemperaturowe i wentylacja pomieszczeń, przygotowanie ciepłej wody użytkowej); </w:t>
      </w:r>
    </w:p>
    <w:p w:rsidR="00C85136" w:rsidRPr="00C85136" w:rsidRDefault="00C85136" w:rsidP="00775439">
      <w:pPr>
        <w:numPr>
          <w:ilvl w:val="0"/>
          <w:numId w:val="39"/>
        </w:numPr>
        <w:tabs>
          <w:tab w:val="left" w:pos="1470"/>
        </w:tabs>
        <w:spacing w:line="360" w:lineRule="auto"/>
      </w:pPr>
      <w:r w:rsidRPr="00C85136">
        <w:lastRenderedPageBreak/>
        <w:t xml:space="preserve">do celów rolniczo - hodowlanych (m.in.: ogrzewanie upraw pod osłonami, suszenie płodów rolnych, ogrzewanie pomieszczeń inwentarskich, przygotowanie ciepłej wody technologicznej, hodowla ryb w wodzie o podwyższonej temperaturze); </w:t>
      </w:r>
    </w:p>
    <w:p w:rsidR="00C85136" w:rsidRPr="00C85136" w:rsidRDefault="00C85136" w:rsidP="00775439">
      <w:pPr>
        <w:numPr>
          <w:ilvl w:val="0"/>
          <w:numId w:val="39"/>
        </w:numPr>
        <w:tabs>
          <w:tab w:val="left" w:pos="1470"/>
        </w:tabs>
        <w:spacing w:line="360" w:lineRule="auto"/>
      </w:pPr>
      <w:r w:rsidRPr="00C85136">
        <w:t xml:space="preserve">w rekreacji (m.in.: podgrzewanie wody w basenie); </w:t>
      </w:r>
    </w:p>
    <w:p w:rsidR="00C85136" w:rsidRPr="00C85136" w:rsidRDefault="00C85136" w:rsidP="00775439">
      <w:pPr>
        <w:numPr>
          <w:ilvl w:val="0"/>
          <w:numId w:val="39"/>
        </w:numPr>
        <w:tabs>
          <w:tab w:val="left" w:pos="1470"/>
        </w:tabs>
        <w:spacing w:line="360" w:lineRule="auto"/>
      </w:pPr>
      <w:r w:rsidRPr="00C85136">
        <w:t xml:space="preserve">przy wyższych temperaturach do produkcji energii elektrycznej. </w:t>
      </w:r>
    </w:p>
    <w:p w:rsidR="00C85136" w:rsidRDefault="00C85136" w:rsidP="00C85136">
      <w:pPr>
        <w:tabs>
          <w:tab w:val="left" w:pos="1470"/>
        </w:tabs>
        <w:spacing w:line="360" w:lineRule="auto"/>
      </w:pPr>
      <w:r w:rsidRPr="00C85136">
        <w:t>Należy zaznaczyć, że eksploatacja energii geotermalnej powoduje również problemy ekologiczne, z których najważniejszy polega na kłopotach związanych z emisją szkodliwych gazów uwalniających się z płynu. Dotyczy to przede wszystkim siarkowodoru (H</w:t>
      </w:r>
      <w:r w:rsidRPr="00C85136">
        <w:rPr>
          <w:vertAlign w:val="subscript"/>
        </w:rPr>
        <w:t>2</w:t>
      </w:r>
      <w:r w:rsidRPr="00C85136">
        <w:t>S), który powinien być pochłonięty w odpowiednich instalacjach, podrażających koszt produkcji energii. Inne potencjalne zagrożenia dla zdrowia powoduje radon (produkt rozpadu radioaktywnego uranu) wydobywający się wraz z parą ze studni geotermalnej.</w:t>
      </w:r>
    </w:p>
    <w:p w:rsidR="00647557" w:rsidRDefault="00C85136" w:rsidP="00647557">
      <w:pPr>
        <w:pStyle w:val="Legenda"/>
        <w:keepNext/>
        <w:jc w:val="center"/>
      </w:pPr>
      <w:r w:rsidRPr="00C85136">
        <w:rPr>
          <w:noProof/>
          <w:lang w:eastAsia="pl-PL"/>
        </w:rPr>
        <w:drawing>
          <wp:inline distT="0" distB="0" distL="0" distR="0">
            <wp:extent cx="4572000" cy="4125595"/>
            <wp:effectExtent l="0" t="0" r="0" b="8255"/>
            <wp:docPr id="33" name="Obraz 33" descr="C:\Users\Agnieszka\Desktop\geoterm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gnieszka\Desktop\geotermia.png"/>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4125595"/>
                    </a:xfrm>
                    <a:prstGeom prst="rect">
                      <a:avLst/>
                    </a:prstGeom>
                    <a:noFill/>
                    <a:ln>
                      <a:noFill/>
                    </a:ln>
                  </pic:spPr>
                </pic:pic>
              </a:graphicData>
            </a:graphic>
          </wp:inline>
        </w:drawing>
      </w:r>
      <w:bookmarkStart w:id="359" w:name="_Toc423819930"/>
    </w:p>
    <w:p w:rsidR="00647557" w:rsidRPr="00647557" w:rsidRDefault="00647557" w:rsidP="004E3043">
      <w:pPr>
        <w:pStyle w:val="Legenda"/>
        <w:jc w:val="right"/>
        <w:rPr>
          <w:color w:val="auto"/>
        </w:rPr>
      </w:pPr>
      <w:bookmarkStart w:id="360" w:name="_Toc427675266"/>
      <w:r w:rsidRPr="00647557">
        <w:rPr>
          <w:color w:val="auto"/>
        </w:rPr>
        <w:t xml:space="preserve">Mapa </w:t>
      </w:r>
      <w:r w:rsidR="00A93FFF" w:rsidRPr="00647557">
        <w:rPr>
          <w:color w:val="auto"/>
        </w:rPr>
        <w:fldChar w:fldCharType="begin"/>
      </w:r>
      <w:r w:rsidRPr="00647557">
        <w:rPr>
          <w:color w:val="auto"/>
        </w:rPr>
        <w:instrText xml:space="preserve"> SEQ Mapa \* ARABIC </w:instrText>
      </w:r>
      <w:r w:rsidR="00A93FFF" w:rsidRPr="00647557">
        <w:rPr>
          <w:color w:val="auto"/>
        </w:rPr>
        <w:fldChar w:fldCharType="separate"/>
      </w:r>
      <w:r w:rsidR="00871648">
        <w:rPr>
          <w:noProof/>
          <w:color w:val="auto"/>
        </w:rPr>
        <w:t>11</w:t>
      </w:r>
      <w:r w:rsidR="00A93FFF" w:rsidRPr="00647557">
        <w:rPr>
          <w:color w:val="auto"/>
        </w:rPr>
        <w:fldChar w:fldCharType="end"/>
      </w:r>
      <w:r w:rsidRPr="00647557">
        <w:rPr>
          <w:color w:val="auto"/>
        </w:rPr>
        <w:t>. Zasoby geotermalne Polski (http://www.pga.org.pl/geotermia-zasoby-polskie.html)</w:t>
      </w:r>
      <w:bookmarkEnd w:id="360"/>
    </w:p>
    <w:bookmarkEnd w:id="359"/>
    <w:p w:rsidR="00C85136" w:rsidRPr="00647557" w:rsidRDefault="00C85136" w:rsidP="00647557">
      <w:pPr>
        <w:pStyle w:val="Legenda"/>
        <w:jc w:val="center"/>
        <w:rPr>
          <w:color w:val="auto"/>
        </w:rPr>
      </w:pPr>
    </w:p>
    <w:p w:rsidR="00194664" w:rsidRPr="00647557" w:rsidRDefault="00194664" w:rsidP="00647557">
      <w:pPr>
        <w:pStyle w:val="Nagwek3"/>
      </w:pPr>
      <w:bookmarkStart w:id="361" w:name="_Toc427566553"/>
      <w:bookmarkStart w:id="362" w:name="_Toc427675593"/>
      <w:bookmarkStart w:id="363" w:name="_Toc427734993"/>
      <w:r w:rsidRPr="00647557">
        <w:t>Pompy ciepła</w:t>
      </w:r>
      <w:bookmarkEnd w:id="361"/>
      <w:bookmarkEnd w:id="362"/>
      <w:bookmarkEnd w:id="363"/>
    </w:p>
    <w:p w:rsidR="00194664" w:rsidRPr="00115BA7" w:rsidRDefault="00194664" w:rsidP="00194664">
      <w:pPr>
        <w:spacing w:line="360" w:lineRule="auto"/>
        <w:rPr>
          <w:shd w:val="clear" w:color="auto" w:fill="FFFFFF"/>
        </w:rPr>
      </w:pPr>
      <w:r w:rsidRPr="00115BA7">
        <w:rPr>
          <w:shd w:val="clear" w:color="auto" w:fill="FFFFFF"/>
        </w:rPr>
        <w:t xml:space="preserve">W ostatnich latach wzrasta liczba instalacji wykorzystujących pompy ciepła w celu zaspokojenia potrzeb cieplnych. Pompa ciepła umożliwia wykorzystanie energii cieplnej </w:t>
      </w:r>
      <w:r w:rsidRPr="00115BA7">
        <w:rPr>
          <w:shd w:val="clear" w:color="auto" w:fill="FFFFFF"/>
        </w:rPr>
        <w:br/>
        <w:t xml:space="preserve">ze źródeł o niskich temperaturach. Jej rola polega na pobieraniu ciepła ze źródła </w:t>
      </w:r>
      <w:r w:rsidRPr="00115BA7">
        <w:rPr>
          <w:shd w:val="clear" w:color="auto" w:fill="FFFFFF"/>
        </w:rPr>
        <w:br/>
        <w:t xml:space="preserve">o niższej temperaturze (tzw. źródła dolnego) i przekazywaniu go do źródła </w:t>
      </w:r>
      <w:r w:rsidRPr="00115BA7">
        <w:rPr>
          <w:shd w:val="clear" w:color="auto" w:fill="FFFFFF"/>
        </w:rPr>
        <w:br/>
      </w:r>
      <w:r w:rsidRPr="00115BA7">
        <w:rPr>
          <w:shd w:val="clear" w:color="auto" w:fill="FFFFFF"/>
        </w:rPr>
        <w:lastRenderedPageBreak/>
        <w:t xml:space="preserve">o temperaturze wyższej (tzw. źródła górnego). Pompy ciepła wykorzystują ciepło niskotemperaturowe (o niskiej energii - w praktyce 0°C-60°C), trudne do innego praktycznego wykorzystania. </w:t>
      </w:r>
    </w:p>
    <w:p w:rsidR="00194664" w:rsidRPr="00115BA7" w:rsidRDefault="00194664" w:rsidP="00194664">
      <w:pPr>
        <w:spacing w:line="360" w:lineRule="auto"/>
        <w:rPr>
          <w:rStyle w:val="Pogrubienie"/>
          <w:b w:val="0"/>
          <w:bCs w:val="0"/>
          <w:shd w:val="clear" w:color="auto" w:fill="FFFFFF"/>
        </w:rPr>
      </w:pPr>
      <w:r w:rsidRPr="00115BA7">
        <w:rPr>
          <w:shd w:val="clear" w:color="auto" w:fill="FFFFFF"/>
        </w:rPr>
        <w:t xml:space="preserve">Najczęstszym wariantem zastosowania pompy ciepła jest wykorzystanie ciepła gruntu poprzez tzw. kolektor gruntowy (kolektor ziemny).Możemy wyróżnić pompy ciepła </w:t>
      </w:r>
      <w:r w:rsidRPr="00115BA7">
        <w:rPr>
          <w:shd w:val="clear" w:color="auto" w:fill="FFFFFF"/>
        </w:rPr>
        <w:br/>
        <w:t>z poziomym oraz pionowym gruntowym wymiennikiem ciepła.</w:t>
      </w:r>
    </w:p>
    <w:p w:rsidR="00194664" w:rsidRPr="00115BA7" w:rsidRDefault="00194664" w:rsidP="00775439">
      <w:pPr>
        <w:pStyle w:val="Akapitzlist"/>
        <w:numPr>
          <w:ilvl w:val="0"/>
          <w:numId w:val="40"/>
        </w:numPr>
        <w:ind w:left="0" w:firstLine="0"/>
        <w:rPr>
          <w:rFonts w:ascii="Georgia" w:hAnsi="Georgia"/>
        </w:rPr>
      </w:pPr>
      <w:r w:rsidRPr="00115BA7">
        <w:rPr>
          <w:rStyle w:val="Pogrubienie"/>
          <w:rFonts w:ascii="Georgia" w:hAnsi="Georgia" w:cs="Tahoma"/>
          <w:color w:val="000000"/>
          <w:szCs w:val="18"/>
          <w:shd w:val="clear" w:color="auto" w:fill="FFFFFF"/>
        </w:rPr>
        <w:t>Poziome wymienniki ciepła (kolektory poziome)</w:t>
      </w:r>
      <w:r w:rsidRPr="00115BA7">
        <w:rPr>
          <w:rFonts w:ascii="Georgia" w:hAnsi="Georgia"/>
          <w:shd w:val="clear" w:color="auto" w:fill="FFFFFF"/>
        </w:rPr>
        <w:t xml:space="preserve">– ułożone są na głębokości ok. 1,0 </w:t>
      </w:r>
      <w:r w:rsidRPr="00115BA7">
        <w:rPr>
          <w:rFonts w:ascii="Georgia" w:hAnsi="Georgia"/>
          <w:shd w:val="clear" w:color="auto" w:fill="FFFFFF"/>
        </w:rPr>
        <w:noBreakHyphen/>
        <w:t xml:space="preserve"> 1,6 m , gdzie temperatura zmienia się wprawdzie w ciągu roku, ale jej dobowe wahania są minimalne. Na tym poziomie temperatura wynosi w naszym klimacie w lipcu +17°C, a w styczniu +5°C. Ułożony w ziemi kolektor poziomy w żaden sposób nie zakłóca wegetacji roślin rosnących w ogrodzie. Najwięcej ciepła można odebrać układając kolektory w wilgotnej glebie. Charakteryzuje się łatwością wykonania i niskim kosztem, jednak wymaga dużej powierzchni gruntu.</w:t>
      </w:r>
    </w:p>
    <w:p w:rsidR="00194664" w:rsidRPr="00115BA7" w:rsidRDefault="00194664" w:rsidP="00775439">
      <w:pPr>
        <w:pStyle w:val="Akapitzlist"/>
        <w:numPr>
          <w:ilvl w:val="0"/>
          <w:numId w:val="40"/>
        </w:numPr>
        <w:ind w:left="0" w:firstLine="0"/>
        <w:rPr>
          <w:rFonts w:ascii="Georgia" w:hAnsi="Georgia"/>
        </w:rPr>
      </w:pPr>
      <w:r w:rsidRPr="00115BA7">
        <w:rPr>
          <w:rStyle w:val="Pogrubienie"/>
          <w:rFonts w:ascii="Georgia" w:hAnsi="Georgia" w:cs="Tahoma"/>
          <w:color w:val="000000"/>
          <w:szCs w:val="18"/>
          <w:shd w:val="clear" w:color="auto" w:fill="FFFFFF"/>
        </w:rPr>
        <w:t>Pionowy wymiennik ciepła (sonda pionowa)</w:t>
      </w:r>
      <w:r w:rsidRPr="00115BA7">
        <w:rPr>
          <w:rFonts w:ascii="Georgia" w:hAnsi="Georgia"/>
          <w:shd w:val="clear" w:color="auto" w:fill="FFFFFF"/>
        </w:rPr>
        <w:t>- ułożony w odwiercie wymiennik pionowy stanowi zamknięty obieg, w którym cyrkuluje niezamarzający roztwór glikol-woda. Pobrane ciepło jest zamieniane przez pompę ciepła na energię. Zajmuje on małą powierzchnię gruntu jednak wadą są wysokie koszty odwiertu.</w:t>
      </w:r>
    </w:p>
    <w:p w:rsidR="00647557" w:rsidRDefault="00194664" w:rsidP="004E3043">
      <w:pPr>
        <w:keepNext/>
        <w:tabs>
          <w:tab w:val="left" w:pos="1470"/>
        </w:tabs>
        <w:spacing w:line="360" w:lineRule="auto"/>
        <w:jc w:val="center"/>
      </w:pPr>
      <w:r w:rsidRPr="00194664">
        <w:rPr>
          <w:noProof/>
          <w:sz w:val="18"/>
          <w:szCs w:val="18"/>
          <w:lang w:eastAsia="pl-PL"/>
        </w:rPr>
        <w:drawing>
          <wp:inline distT="0" distB="0" distL="0" distR="0">
            <wp:extent cx="4444628" cy="2685431"/>
            <wp:effectExtent l="1905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mpa ciepła.png"/>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450515" cy="2688988"/>
                    </a:xfrm>
                    <a:prstGeom prst="rect">
                      <a:avLst/>
                    </a:prstGeom>
                  </pic:spPr>
                </pic:pic>
              </a:graphicData>
            </a:graphic>
          </wp:inline>
        </w:drawing>
      </w:r>
    </w:p>
    <w:p w:rsidR="00194664" w:rsidRPr="00647557" w:rsidRDefault="00647557" w:rsidP="004E3043">
      <w:pPr>
        <w:pStyle w:val="Legenda"/>
        <w:jc w:val="right"/>
        <w:rPr>
          <w:color w:val="auto"/>
        </w:rPr>
      </w:pPr>
      <w:bookmarkStart w:id="364" w:name="_Toc427675205"/>
      <w:r w:rsidRPr="00647557">
        <w:rPr>
          <w:color w:val="auto"/>
        </w:rPr>
        <w:t xml:space="preserve">Rysunek </w:t>
      </w:r>
      <w:r w:rsidR="00A93FFF" w:rsidRPr="00647557">
        <w:rPr>
          <w:color w:val="auto"/>
        </w:rPr>
        <w:fldChar w:fldCharType="begin"/>
      </w:r>
      <w:r w:rsidRPr="00647557">
        <w:rPr>
          <w:color w:val="auto"/>
        </w:rPr>
        <w:instrText xml:space="preserve"> SEQ Rysunek \* ARABIC </w:instrText>
      </w:r>
      <w:r w:rsidR="00A93FFF" w:rsidRPr="00647557">
        <w:rPr>
          <w:color w:val="auto"/>
        </w:rPr>
        <w:fldChar w:fldCharType="separate"/>
      </w:r>
      <w:r w:rsidR="00871648">
        <w:rPr>
          <w:noProof/>
          <w:color w:val="auto"/>
        </w:rPr>
        <w:t>1</w:t>
      </w:r>
      <w:r w:rsidR="00A93FFF" w:rsidRPr="00647557">
        <w:rPr>
          <w:color w:val="auto"/>
        </w:rPr>
        <w:fldChar w:fldCharType="end"/>
      </w:r>
      <w:r w:rsidRPr="00647557">
        <w:rPr>
          <w:color w:val="auto"/>
        </w:rPr>
        <w:t>. Schemat działania sprężarkowych pomp ciepła (źródło: www.muratorplus.pl)</w:t>
      </w:r>
      <w:bookmarkEnd w:id="364"/>
    </w:p>
    <w:p w:rsidR="00194664" w:rsidRPr="00194664" w:rsidRDefault="00194664" w:rsidP="00194664">
      <w:pPr>
        <w:pStyle w:val="Legenda"/>
        <w:jc w:val="center"/>
        <w:rPr>
          <w:color w:val="auto"/>
        </w:rPr>
      </w:pPr>
    </w:p>
    <w:p w:rsidR="00194664" w:rsidRPr="00194664" w:rsidRDefault="00194664" w:rsidP="00194664">
      <w:pPr>
        <w:tabs>
          <w:tab w:val="left" w:pos="1470"/>
        </w:tabs>
        <w:spacing w:line="360" w:lineRule="auto"/>
      </w:pPr>
      <w:r w:rsidRPr="00194664">
        <w:t xml:space="preserve">Dolne źródło ciepła dostarcza do parownika pompy ciepła energię niezbędną do zmiany stanu skupienia czynnika roboczego. Czynnik roboczy odparowuje pobierając ciepło </w:t>
      </w:r>
      <w:r w:rsidRPr="00194664">
        <w:br/>
        <w:t xml:space="preserve">od źródła dolnego, a następnie jest sprężany. Sprężanie powoduje wzrost ciśnienia </w:t>
      </w:r>
      <w:r w:rsidRPr="00194664">
        <w:br/>
        <w:t xml:space="preserve">i temperatury czynnika roboczego. Kolejno w skraplaczu ma miejsce skroplenie czynnika (schłodzenie) i oddanie ciepła użytecznego (np. do ogrzewania pomieszczeń). Zawór </w:t>
      </w:r>
      <w:r w:rsidRPr="00194664">
        <w:lastRenderedPageBreak/>
        <w:t xml:space="preserve">rozprężający następnie rozpręża czynnik, czemu towarzyszy obniżenie jego ciśnienia </w:t>
      </w:r>
      <w:r w:rsidRPr="00194664">
        <w:br/>
        <w:t>i temperatury, po czym jest on ponownie kierowany do parownika zamykając obieg (</w:t>
      </w:r>
      <w:r>
        <w:t>Rysunek 2</w:t>
      </w:r>
      <w:r w:rsidRPr="00194664">
        <w:t xml:space="preserve">). Pompy ciepła mogą wykorzystywać również ciepło pochodzące z wód gruntowych oraz powierzchniowych, a także z powietrza atmosferycznego. </w:t>
      </w:r>
    </w:p>
    <w:p w:rsidR="00194664" w:rsidRPr="00194664" w:rsidRDefault="00194664" w:rsidP="00194664">
      <w:pPr>
        <w:tabs>
          <w:tab w:val="left" w:pos="1470"/>
        </w:tabs>
        <w:spacing w:line="360" w:lineRule="auto"/>
        <w:rPr>
          <w:u w:val="single"/>
        </w:rPr>
      </w:pPr>
      <w:r w:rsidRPr="00194664">
        <w:rPr>
          <w:u w:val="single"/>
        </w:rPr>
        <w:t>Woda gruntowa</w:t>
      </w:r>
      <w:r w:rsidRPr="00194664">
        <w:t>. Instalacja wykorzystuje pompę ciepła pobierającą energię z układu dwóch studni głębinowych. W jednej studni - czerpalnej jest zanurzona pompa głębinowa. Pobiera ona i przekazuje wodę na zewnątrz do wymiennika w pompie ciepła. Następnie wychłodzona woda jest oddawana do drugiej studni zrzutowej.</w:t>
      </w:r>
    </w:p>
    <w:p w:rsidR="00194664" w:rsidRPr="00194664" w:rsidRDefault="00194664" w:rsidP="00194664">
      <w:pPr>
        <w:tabs>
          <w:tab w:val="left" w:pos="1470"/>
        </w:tabs>
        <w:spacing w:line="360" w:lineRule="auto"/>
      </w:pPr>
      <w:r w:rsidRPr="00194664">
        <w:rPr>
          <w:u w:val="single"/>
        </w:rPr>
        <w:t>Wody powierzchniowe</w:t>
      </w:r>
      <w:r w:rsidRPr="00194664">
        <w:t>. Rzeki, jeziora, stawy również mogą być źródłem ciepła dla pomp. Kolektor poziomy wypełniony wodnym roztworem substancji niezamarzającej, rozkłada się wtedy na dnie zbiornika wodnego. Nawet w sytuacji, gdy zbiornik wodny zimą zamarza, nie jest to przeszkodą w pozyskiwaniu z niego energii cieplnej.</w:t>
      </w:r>
    </w:p>
    <w:p w:rsidR="00194664" w:rsidRPr="00194664" w:rsidRDefault="00194664" w:rsidP="00194664">
      <w:pPr>
        <w:tabs>
          <w:tab w:val="left" w:pos="1470"/>
        </w:tabs>
        <w:spacing w:line="360" w:lineRule="auto"/>
      </w:pPr>
      <w:r w:rsidRPr="00194664">
        <w:rPr>
          <w:u w:val="single"/>
        </w:rPr>
        <w:t>Powietrze atmosferyczne.</w:t>
      </w:r>
      <w:r w:rsidRPr="00194664">
        <w:t xml:space="preserve"> Powietrze jest łatwo dostępnym źródłem zasilania pomp ciepła. Wentylator zasysa powietrze i przesuwa je przez parownik pompy ciepła. Część energii cieplnej zmagazynowanej w powietrzu zostaje przekazana do systemu grzewczego budynku. Występuje tu jednak odwrotna zależność pomiędzy jego wydolnością jako źródła ciepła, a naszym zapotrzebowaniem na energię - gdy jest ono największe, ilość ciepła, którą możemy odebrać z powietrza, jest właśnie najmniejsza, dlatego instalacje takie są rzadko stosowane.</w:t>
      </w:r>
    </w:p>
    <w:p w:rsidR="00194664" w:rsidRPr="00194664" w:rsidRDefault="00194664" w:rsidP="00194664">
      <w:pPr>
        <w:tabs>
          <w:tab w:val="left" w:pos="1470"/>
        </w:tabs>
        <w:spacing w:line="360" w:lineRule="auto"/>
      </w:pPr>
      <w:r w:rsidRPr="00194664">
        <w:t>Pompy ciepła najczęściej mają zastosowanie:</w:t>
      </w:r>
    </w:p>
    <w:p w:rsidR="00194664" w:rsidRPr="00194664" w:rsidRDefault="00194664" w:rsidP="00775439">
      <w:pPr>
        <w:numPr>
          <w:ilvl w:val="0"/>
          <w:numId w:val="41"/>
        </w:numPr>
        <w:tabs>
          <w:tab w:val="left" w:pos="1470"/>
        </w:tabs>
        <w:spacing w:line="360" w:lineRule="auto"/>
      </w:pPr>
      <w:r w:rsidRPr="00194664">
        <w:t>w gospodarstwach domowych (chłodziarki, zamrażarki);</w:t>
      </w:r>
    </w:p>
    <w:p w:rsidR="00194664" w:rsidRPr="00194664" w:rsidRDefault="00194664" w:rsidP="00775439">
      <w:pPr>
        <w:numPr>
          <w:ilvl w:val="0"/>
          <w:numId w:val="41"/>
        </w:numPr>
        <w:tabs>
          <w:tab w:val="left" w:pos="1470"/>
        </w:tabs>
        <w:spacing w:line="360" w:lineRule="auto"/>
      </w:pPr>
      <w:r w:rsidRPr="00194664">
        <w:t>w przetwórstwie spożywczym (chłodnie, zamrażalnie, fabryki lodu);</w:t>
      </w:r>
    </w:p>
    <w:p w:rsidR="00194664" w:rsidRPr="00194664" w:rsidRDefault="00194664" w:rsidP="00775439">
      <w:pPr>
        <w:numPr>
          <w:ilvl w:val="0"/>
          <w:numId w:val="41"/>
        </w:numPr>
        <w:tabs>
          <w:tab w:val="left" w:pos="1470"/>
        </w:tabs>
        <w:spacing w:line="360" w:lineRule="auto"/>
      </w:pPr>
      <w:r w:rsidRPr="00194664">
        <w:t>w klimatyzacji pomieszczeń (chłodzenie pomieszczeń);</w:t>
      </w:r>
    </w:p>
    <w:p w:rsidR="00194664" w:rsidRPr="00194664" w:rsidRDefault="00194664" w:rsidP="00775439">
      <w:pPr>
        <w:numPr>
          <w:ilvl w:val="0"/>
          <w:numId w:val="41"/>
        </w:numPr>
        <w:tabs>
          <w:tab w:val="left" w:pos="1470"/>
        </w:tabs>
        <w:spacing w:line="360" w:lineRule="auto"/>
      </w:pPr>
      <w:r w:rsidRPr="00194664">
        <w:t>w chłodnictwie;</w:t>
      </w:r>
    </w:p>
    <w:p w:rsidR="00194664" w:rsidRPr="004E4CC9" w:rsidRDefault="00194664" w:rsidP="00775439">
      <w:pPr>
        <w:numPr>
          <w:ilvl w:val="0"/>
          <w:numId w:val="41"/>
        </w:numPr>
        <w:tabs>
          <w:tab w:val="left" w:pos="1470"/>
        </w:tabs>
        <w:spacing w:line="360" w:lineRule="auto"/>
      </w:pPr>
      <w:r w:rsidRPr="00194664">
        <w:t>w ogrzewaniu pomieszczeń ciepłem pobieranym z otoczenia (z gruntu, zbiorników wodnych lub powietrza).</w:t>
      </w:r>
    </w:p>
    <w:p w:rsidR="00B2069F" w:rsidRPr="0071434F" w:rsidRDefault="00B2069F" w:rsidP="0071434F">
      <w:pPr>
        <w:pStyle w:val="Nagwek2"/>
      </w:pPr>
      <w:bookmarkStart w:id="365" w:name="_Toc427566555"/>
      <w:bookmarkStart w:id="366" w:name="_Toc427675594"/>
      <w:bookmarkStart w:id="367" w:name="_Toc427734994"/>
      <w:r w:rsidRPr="0071434F">
        <w:t>Biomasa</w:t>
      </w:r>
      <w:bookmarkEnd w:id="365"/>
      <w:bookmarkEnd w:id="366"/>
      <w:bookmarkEnd w:id="367"/>
    </w:p>
    <w:p w:rsidR="00B2069F" w:rsidRPr="00AC62BF" w:rsidRDefault="00B2069F" w:rsidP="00B2069F">
      <w:pPr>
        <w:spacing w:line="360" w:lineRule="auto"/>
      </w:pPr>
      <w:r w:rsidRPr="00AC62BF">
        <w:t xml:space="preserve">Wśród odnawialnych źródeł energii największe znacznie odgrywa biomasa. Jest łatwa do pozyskania, powszechnie dostępna, a jej zasoby można odtworzyć. Była pierwszym wykorzystywanym przez ludzkość paliwem i wciąż jest szeroko stosowana. Według definicji Unii Europejskiej biomasa oznacza podatne na rozkład biologiczny frakcje produktów, odpady i pozostałości przemysłu rolnego (łącznie z substancjami roślinnymi i zwierzęcymi), leśnictwa i związanych z nim gałęzi gospodarki, jak również podatne na rozkład biologiczny </w:t>
      </w:r>
      <w:r w:rsidRPr="00AC62BF">
        <w:lastRenderedPageBreak/>
        <w:t xml:space="preserve">frakcje odpadów przemysłowych i miejskich (Dyrektywa 2001/77/WE). Biomasę można wykorzystywać na cele energetyczne w różny sposób: bezpośrednie spalanie biomasy (np. drewna pod różną postacią, słomy, osadów ściekowych) przetwarzanie biomasy na paliwa ciekłe (np. estry oleju rzepakowego, alkohol), przetwarzanie biomasy na paliwa gazowe (np. biogaz rolniczy, biogaz z oczyszczalni ścieków, gaz </w:t>
      </w:r>
      <w:proofErr w:type="spellStart"/>
      <w:r w:rsidRPr="00AC62BF">
        <w:t>wysypiskowy</w:t>
      </w:r>
      <w:proofErr w:type="spellEnd"/>
      <w:r w:rsidRPr="00AC62BF">
        <w:t xml:space="preserve">, gaz drzewny). </w:t>
      </w:r>
    </w:p>
    <w:p w:rsidR="00B2069F" w:rsidRPr="00AC62BF" w:rsidRDefault="00B2069F" w:rsidP="00B2069F">
      <w:pPr>
        <w:spacing w:line="360" w:lineRule="auto"/>
      </w:pPr>
      <w:r w:rsidRPr="00AC62BF">
        <w:t xml:space="preserve">Energetyczna ocena biomasy, na tle konwencjonalnych paliw, dotyczy przede wszystkim wartości opałowej, zawartości wilgoci, popiołu i części lotnych. Szeroki przedział wilgotności biomasy oraz jej mała gęstość energetyczna (ilość energii znajdującej w określonej objętości lub masie) to mankamenty tego paliwa. Stwarzają one pewne problemy techniczne, utrudniają transport i magazynowanie. Jednakże, przetworzone paliwa z biomasy, takie jak </w:t>
      </w:r>
      <w:proofErr w:type="spellStart"/>
      <w:r w:rsidRPr="00AC62BF">
        <w:t>pelety</w:t>
      </w:r>
      <w:proofErr w:type="spellEnd"/>
      <w:r w:rsidRPr="00AC62BF">
        <w:t xml:space="preserve"> i brykiety, mankamentów tych nie posiadają. Mają one bardzo jednorodną charakterystykę pod względem wartości energetycznej, są dostępne w wygodnych opakowaniach ułatwiających ich transport i przechowywanie.</w:t>
      </w:r>
    </w:p>
    <w:p w:rsidR="00B2069F" w:rsidRPr="00AC62BF" w:rsidRDefault="00B2069F" w:rsidP="00B2069F">
      <w:pPr>
        <w:spacing w:line="360" w:lineRule="auto"/>
      </w:pPr>
      <w:r w:rsidRPr="00AC62BF">
        <w:t xml:space="preserve">Spalanie biomasy w Polsce jest w użyciu kilka milionów kotłów służących do ogrzewania domów jednorodzinnych. Paliwem do tych kotłów jest głównie węgiel i drewno opałowe. Istnieje pilna konieczność wymiany tych kotłów o przestarzałej konstrukcji na nowoczesne kotły opalane drewnem opałowym i paliwem przetworzonym w postaci brykietów i </w:t>
      </w:r>
      <w:proofErr w:type="spellStart"/>
      <w:r w:rsidRPr="00AC62BF">
        <w:t>pelet</w:t>
      </w:r>
      <w:proofErr w:type="spellEnd"/>
      <w:r w:rsidRPr="00AC62BF">
        <w:t xml:space="preserve">. Do spalania </w:t>
      </w:r>
      <w:proofErr w:type="spellStart"/>
      <w:r w:rsidRPr="00AC62BF">
        <w:t>pelet</w:t>
      </w:r>
      <w:proofErr w:type="spellEnd"/>
      <w:r w:rsidRPr="00AC62BF">
        <w:t>, brykietów i suchych zrębków stosuje się kotły z automatycznym podawaniem paliwa oraz ciągłym sterowaniem procesem spalania poprzez regulację ilości powietrza doprowadzanego do kotłów. Kotły takie cechują się sprawnościami przekraczającymi 90%, elastyczną pracą dopasowaną do zmieniającego się zapotrzebowania na ciepło oraz bardzo niskimi emisjami tlenku węgla. Kotły takie spełniają oczekiwania użytkownika odnośnie minimum wymagań obsługi, upodabniając je pod tym względem do kotłów olejowych. Na rynku polskim znajduje się kilku krajowych producentów kotłów godnych polecenia oraz kilku przedstawicieli sprzedających kotły renomowanych firm europejskich.</w:t>
      </w:r>
    </w:p>
    <w:p w:rsidR="00B2069F" w:rsidRPr="00AC62BF" w:rsidRDefault="00B2069F" w:rsidP="00B2069F">
      <w:pPr>
        <w:spacing w:line="360" w:lineRule="auto"/>
      </w:pPr>
      <w:r w:rsidRPr="00AC62BF">
        <w:t xml:space="preserve">Korzyści płynące z wykorzystania biomasy: </w:t>
      </w:r>
    </w:p>
    <w:p w:rsidR="00B2069F" w:rsidRPr="00AC62BF" w:rsidRDefault="00B2069F" w:rsidP="00775439">
      <w:pPr>
        <w:pStyle w:val="Akapitzlist"/>
        <w:numPr>
          <w:ilvl w:val="0"/>
          <w:numId w:val="42"/>
        </w:numPr>
        <w:spacing w:before="0" w:after="200"/>
        <w:rPr>
          <w:rFonts w:ascii="Georgia" w:hAnsi="Georgia"/>
        </w:rPr>
      </w:pPr>
      <w:r w:rsidRPr="00AC62BF">
        <w:rPr>
          <w:rFonts w:ascii="Georgia" w:hAnsi="Georgia"/>
        </w:rPr>
        <w:t xml:space="preserve">odtwarzalność surowca, </w:t>
      </w:r>
    </w:p>
    <w:p w:rsidR="00B2069F" w:rsidRPr="00AC62BF" w:rsidRDefault="00B2069F" w:rsidP="00775439">
      <w:pPr>
        <w:pStyle w:val="Akapitzlist"/>
        <w:numPr>
          <w:ilvl w:val="0"/>
          <w:numId w:val="42"/>
        </w:numPr>
        <w:spacing w:before="0" w:after="200"/>
        <w:rPr>
          <w:rFonts w:ascii="Georgia" w:hAnsi="Georgia"/>
        </w:rPr>
      </w:pPr>
      <w:r w:rsidRPr="00AC62BF">
        <w:rPr>
          <w:rFonts w:ascii="Georgia" w:hAnsi="Georgia"/>
        </w:rPr>
        <w:t xml:space="preserve">ich spalanie nie powoduje dodatkowej emisji dwutlenku węgla, ponieważ ilość tego gazu powstająca przy spalaniu jest równa tej, którą pobierają w procesie fotosyntezy rośliny, </w:t>
      </w:r>
    </w:p>
    <w:p w:rsidR="00B2069F" w:rsidRPr="00AC62BF" w:rsidRDefault="00B2069F" w:rsidP="00775439">
      <w:pPr>
        <w:pStyle w:val="Akapitzlist"/>
        <w:numPr>
          <w:ilvl w:val="0"/>
          <w:numId w:val="42"/>
        </w:numPr>
        <w:spacing w:before="0" w:after="200"/>
        <w:rPr>
          <w:rFonts w:ascii="Georgia" w:hAnsi="Georgia"/>
        </w:rPr>
      </w:pPr>
      <w:r w:rsidRPr="00AC62BF">
        <w:rPr>
          <w:rFonts w:ascii="Georgia" w:hAnsi="Georgia"/>
        </w:rPr>
        <w:t xml:space="preserve">ich spalaniu towarzyszy ograniczona emisja pozostałych gazów cieplarnianych: tlenków siarki i azotu, </w:t>
      </w:r>
    </w:p>
    <w:p w:rsidR="00B2069F" w:rsidRPr="00AC62BF" w:rsidRDefault="00B2069F" w:rsidP="00775439">
      <w:pPr>
        <w:pStyle w:val="Akapitzlist"/>
        <w:numPr>
          <w:ilvl w:val="0"/>
          <w:numId w:val="42"/>
        </w:numPr>
        <w:spacing w:before="0" w:after="200"/>
        <w:rPr>
          <w:rFonts w:ascii="Georgia" w:hAnsi="Georgia"/>
        </w:rPr>
      </w:pPr>
      <w:r w:rsidRPr="00AC62BF">
        <w:rPr>
          <w:rFonts w:ascii="Georgia" w:hAnsi="Georgia"/>
        </w:rPr>
        <w:t xml:space="preserve">pozostały popiół charakteryzuje się korzystnym składem mineralnym </w:t>
      </w:r>
      <w:r>
        <w:rPr>
          <w:rFonts w:ascii="Georgia" w:hAnsi="Georgia"/>
        </w:rPr>
        <w:br/>
      </w:r>
      <w:r w:rsidRPr="00AC62BF">
        <w:rPr>
          <w:rFonts w:ascii="Georgia" w:hAnsi="Georgia"/>
        </w:rPr>
        <w:t xml:space="preserve">i z powodzeniem może być stosowany jako nawóz, </w:t>
      </w:r>
    </w:p>
    <w:p w:rsidR="00B2069F" w:rsidRPr="00AC62BF" w:rsidRDefault="00B2069F" w:rsidP="00775439">
      <w:pPr>
        <w:pStyle w:val="Akapitzlist"/>
        <w:numPr>
          <w:ilvl w:val="0"/>
          <w:numId w:val="42"/>
        </w:numPr>
        <w:spacing w:before="0" w:after="200"/>
        <w:rPr>
          <w:rFonts w:ascii="Georgia" w:hAnsi="Georgia"/>
        </w:rPr>
      </w:pPr>
      <w:r w:rsidRPr="00AC62BF">
        <w:rPr>
          <w:rFonts w:ascii="Georgia" w:hAnsi="Georgia"/>
        </w:rPr>
        <w:lastRenderedPageBreak/>
        <w:t xml:space="preserve">wzrost wykorzystania biomasy prowadzi do uaktywnienia gospodarczego rolnictwa, zmniejszenia bezrobocia w obszarach wiejskich, </w:t>
      </w:r>
    </w:p>
    <w:p w:rsidR="00B2069F" w:rsidRPr="00AC62BF" w:rsidRDefault="00B2069F" w:rsidP="00775439">
      <w:pPr>
        <w:pStyle w:val="Akapitzlist"/>
        <w:numPr>
          <w:ilvl w:val="0"/>
          <w:numId w:val="42"/>
        </w:numPr>
        <w:spacing w:before="0" w:after="200"/>
        <w:rPr>
          <w:rFonts w:ascii="Georgia" w:hAnsi="Georgia"/>
        </w:rPr>
      </w:pPr>
      <w:r w:rsidRPr="00AC62BF">
        <w:rPr>
          <w:rFonts w:ascii="Georgia" w:hAnsi="Georgia"/>
        </w:rPr>
        <w:t>produkcyjne wykorzystanie ziem skażonych, mało urodzajnych gleb lub obszarów leżących odłogiem (pod plantacje roślin energetycznych),</w:t>
      </w:r>
    </w:p>
    <w:p w:rsidR="00B2069F" w:rsidRPr="00AC62BF" w:rsidRDefault="00B2069F" w:rsidP="00775439">
      <w:pPr>
        <w:pStyle w:val="Akapitzlist"/>
        <w:numPr>
          <w:ilvl w:val="0"/>
          <w:numId w:val="42"/>
        </w:numPr>
        <w:rPr>
          <w:rFonts w:ascii="Georgia" w:hAnsi="Georgia"/>
          <w:lang w:eastAsia="pl-PL"/>
        </w:rPr>
      </w:pPr>
      <w:r w:rsidRPr="00AC62BF">
        <w:rPr>
          <w:rFonts w:ascii="Georgia" w:hAnsi="Georgia"/>
        </w:rPr>
        <w:t xml:space="preserve">atrakcyjność cenowa paliw </w:t>
      </w:r>
      <w:proofErr w:type="spellStart"/>
      <w:r w:rsidRPr="00AC62BF">
        <w:rPr>
          <w:rFonts w:ascii="Georgia" w:hAnsi="Georgia"/>
        </w:rPr>
        <w:t>biomasowych</w:t>
      </w:r>
      <w:proofErr w:type="spellEnd"/>
      <w:r w:rsidRPr="00AC62BF">
        <w:rPr>
          <w:rFonts w:ascii="Georgia" w:hAnsi="Georgia"/>
        </w:rPr>
        <w:t xml:space="preserve"> w porównaniu z paliwami kopalnymi.</w:t>
      </w:r>
    </w:p>
    <w:p w:rsidR="00B2069F" w:rsidRPr="0071434F" w:rsidRDefault="00B2069F" w:rsidP="0071434F">
      <w:pPr>
        <w:pStyle w:val="Nagwek2"/>
      </w:pPr>
      <w:bookmarkStart w:id="368" w:name="_Toc427566556"/>
      <w:bookmarkStart w:id="369" w:name="_Toc427675595"/>
      <w:bookmarkStart w:id="370" w:name="_Toc427734995"/>
      <w:r w:rsidRPr="0071434F">
        <w:t>Energetyka wiatrowa</w:t>
      </w:r>
      <w:bookmarkEnd w:id="368"/>
      <w:bookmarkEnd w:id="369"/>
      <w:bookmarkEnd w:id="370"/>
    </w:p>
    <w:p w:rsidR="00B2069F" w:rsidRPr="00115BA7" w:rsidRDefault="00B2069F" w:rsidP="00B2069F">
      <w:pPr>
        <w:spacing w:line="360" w:lineRule="auto"/>
        <w:rPr>
          <w:color w:val="000000"/>
        </w:rPr>
      </w:pPr>
      <w:r w:rsidRPr="00115BA7">
        <w:rPr>
          <w:color w:val="000000"/>
        </w:rPr>
        <w:t xml:space="preserve">Według danych Urzędu Regulacji Energetyki na koniec września 2013 roku, funkcjonowało w Polsce 795 instalacji wiatrowych o łącznej mocy 3 082 MW. Większość z nich zlokalizowana jest w północno-zachodniej części kraju. Liderem jest województwo zachodniopomorskie </w:t>
      </w:r>
      <w:r w:rsidRPr="00115BA7">
        <w:rPr>
          <w:color w:val="000000"/>
        </w:rPr>
        <w:br/>
        <w:t>(836,9 MW mocy zamontowanych instalacji wiatrowych), kolejne miejsca zajmują województwa pomorskie (312,2 MW) i kujawsko-pomorskie (296,1 MW).</w:t>
      </w:r>
    </w:p>
    <w:p w:rsidR="00B2069F" w:rsidRPr="00115BA7" w:rsidRDefault="00B2069F" w:rsidP="00B2069F">
      <w:pPr>
        <w:spacing w:line="360" w:lineRule="auto"/>
        <w:rPr>
          <w:color w:val="000000"/>
        </w:rPr>
      </w:pPr>
      <w:r w:rsidRPr="00115BA7">
        <w:rPr>
          <w:color w:val="000000"/>
        </w:rPr>
        <w:t xml:space="preserve">Lokalizowanie dużych farm wiatrowych w obszarze Pomorza związane jest przede wszystkim </w:t>
      </w:r>
      <w:r w:rsidRPr="00115BA7">
        <w:rPr>
          <w:color w:val="000000"/>
        </w:rPr>
        <w:br/>
        <w:t>z dobrą wietrznością tamtych terenów, chociaż, jak obrazuje to mapa wietrzności, potencjał do lokowania siłowni wiatrowych jest dużo większy.</w:t>
      </w:r>
    </w:p>
    <w:p w:rsidR="0071434F" w:rsidRDefault="00B2069F" w:rsidP="0071434F">
      <w:pPr>
        <w:keepNext/>
        <w:ind w:left="851"/>
      </w:pPr>
      <w:r>
        <w:rPr>
          <w:noProof/>
          <w:lang w:eastAsia="pl-PL"/>
        </w:rPr>
        <w:drawing>
          <wp:inline distT="0" distB="0" distL="0" distR="0">
            <wp:extent cx="5467350" cy="3228975"/>
            <wp:effectExtent l="0" t="0" r="0" b="9525"/>
            <wp:docPr id="46" name="Obraz 46" descr="http://www.pepsa.com.pl/sites/default/files/zielonamapa_polenergia_otoczenie_rynkowe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epsa.com.pl/sites/default/files/zielonamapa_polenergia_otoczenie_rynkowe_640.png"/>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67350" cy="3228975"/>
                    </a:xfrm>
                    <a:prstGeom prst="rect">
                      <a:avLst/>
                    </a:prstGeom>
                    <a:noFill/>
                    <a:ln>
                      <a:noFill/>
                    </a:ln>
                  </pic:spPr>
                </pic:pic>
              </a:graphicData>
            </a:graphic>
          </wp:inline>
        </w:drawing>
      </w:r>
    </w:p>
    <w:p w:rsidR="00B2069F" w:rsidRPr="0071434F" w:rsidRDefault="0071434F" w:rsidP="004E3043">
      <w:pPr>
        <w:pStyle w:val="Legenda"/>
        <w:jc w:val="right"/>
        <w:rPr>
          <w:color w:val="auto"/>
        </w:rPr>
      </w:pPr>
      <w:bookmarkStart w:id="371" w:name="_Toc427675267"/>
      <w:r w:rsidRPr="0071434F">
        <w:rPr>
          <w:color w:val="auto"/>
        </w:rPr>
        <w:t xml:space="preserve">Mapa </w:t>
      </w:r>
      <w:r w:rsidR="00A93FFF" w:rsidRPr="0071434F">
        <w:rPr>
          <w:color w:val="auto"/>
        </w:rPr>
        <w:fldChar w:fldCharType="begin"/>
      </w:r>
      <w:r w:rsidRPr="0071434F">
        <w:rPr>
          <w:color w:val="auto"/>
        </w:rPr>
        <w:instrText xml:space="preserve"> SEQ Mapa \* ARABIC </w:instrText>
      </w:r>
      <w:r w:rsidR="00A93FFF" w:rsidRPr="0071434F">
        <w:rPr>
          <w:color w:val="auto"/>
        </w:rPr>
        <w:fldChar w:fldCharType="separate"/>
      </w:r>
      <w:r w:rsidR="00871648">
        <w:rPr>
          <w:noProof/>
          <w:color w:val="auto"/>
        </w:rPr>
        <w:t>12</w:t>
      </w:r>
      <w:r w:rsidR="00A93FFF" w:rsidRPr="0071434F">
        <w:rPr>
          <w:color w:val="auto"/>
        </w:rPr>
        <w:fldChar w:fldCharType="end"/>
      </w:r>
      <w:r w:rsidRPr="0071434F">
        <w:rPr>
          <w:color w:val="auto"/>
        </w:rPr>
        <w:t>. Mapa wietrzności Polski (http://www.pepsa.com.pl/pl/strona/otoczenie-rynkowe)</w:t>
      </w:r>
      <w:bookmarkEnd w:id="371"/>
    </w:p>
    <w:p w:rsidR="00B2069F" w:rsidRPr="00115BA7" w:rsidRDefault="00B2069F" w:rsidP="00B2069F">
      <w:pPr>
        <w:spacing w:line="360" w:lineRule="auto"/>
        <w:rPr>
          <w:lang w:eastAsia="pl-PL"/>
        </w:rPr>
      </w:pPr>
      <w:r w:rsidRPr="00115BA7">
        <w:rPr>
          <w:lang w:eastAsia="pl-PL"/>
        </w:rPr>
        <w:t>Należy zauważyć, że przy lokalizowaniu instalacji wykorzystujących energię wiatru ogromne znaczenie mają warunki lokalne. Nawet teoretycznie dobre lokalizacje muszą zostać zweryfikowane w ramach pomiarów wietrzności. Lokalne ukształtowanie terenu, zalesienie, zabudowania mogą znacząco wpłynąć na efektywność instalacji wiatrowej.</w:t>
      </w:r>
    </w:p>
    <w:p w:rsidR="00B2069F" w:rsidRPr="00115BA7" w:rsidRDefault="00B2069F" w:rsidP="00B2069F">
      <w:pPr>
        <w:spacing w:line="360" w:lineRule="auto"/>
        <w:rPr>
          <w:color w:val="000000"/>
        </w:rPr>
      </w:pPr>
      <w:r w:rsidRPr="00115BA7">
        <w:rPr>
          <w:lang w:eastAsia="pl-PL"/>
        </w:rPr>
        <w:t>Lokalizowanie dużych instalacji wiatrowych na terenie gminy może wiązać się z ne</w:t>
      </w:r>
      <w:r w:rsidRPr="00115BA7">
        <w:rPr>
          <w:color w:val="000000"/>
        </w:rPr>
        <w:t xml:space="preserve">gatywnym oddziaływaniem na zasoby przyrodniczo - środowiskowe, walory turystyczno - wypoczynkowe </w:t>
      </w:r>
      <w:r w:rsidRPr="00115BA7">
        <w:rPr>
          <w:color w:val="000000"/>
        </w:rPr>
        <w:br/>
      </w:r>
      <w:r w:rsidRPr="00115BA7">
        <w:rPr>
          <w:color w:val="000000"/>
        </w:rPr>
        <w:lastRenderedPageBreak/>
        <w:t xml:space="preserve">i krajobraz, a tym samym powodować społeczny sprzeciw. Dlatego też, analizując dopuszczalność wykorzystania siłowni wiatrowych, należy raczej wybierać rozwiązania o najmniejszym stopniu ingerencji w środowisko naturalne – stąd też bardziej akceptowalnym społecznie rozwiązaniem, niż duże farmy wiatrowe, są przydomowe </w:t>
      </w:r>
      <w:proofErr w:type="spellStart"/>
      <w:r w:rsidRPr="00115BA7">
        <w:rPr>
          <w:color w:val="000000"/>
        </w:rPr>
        <w:t>mikroturbiny</w:t>
      </w:r>
      <w:proofErr w:type="spellEnd"/>
      <w:r w:rsidRPr="00115BA7">
        <w:rPr>
          <w:color w:val="000000"/>
        </w:rPr>
        <w:t xml:space="preserve"> wiatrowe o wysokości do 12 m.</w:t>
      </w:r>
    </w:p>
    <w:p w:rsidR="0071434F" w:rsidRDefault="00B2069F" w:rsidP="0071434F">
      <w:pPr>
        <w:keepNext/>
        <w:tabs>
          <w:tab w:val="left" w:pos="1470"/>
        </w:tabs>
        <w:spacing w:line="360" w:lineRule="auto"/>
      </w:pPr>
      <w:r w:rsidRPr="00B2069F">
        <w:rPr>
          <w:noProof/>
          <w:sz w:val="18"/>
          <w:szCs w:val="18"/>
          <w:lang w:eastAsia="pl-PL"/>
        </w:rPr>
        <w:drawing>
          <wp:inline distT="0" distB="0" distL="0" distR="0">
            <wp:extent cx="5760720" cy="4051368"/>
            <wp:effectExtent l="19050" t="0" r="0" b="0"/>
            <wp:docPr id="51" name="Obraz 3"/>
            <wp:cNvGraphicFramePr/>
            <a:graphic xmlns:a="http://schemas.openxmlformats.org/drawingml/2006/main">
              <a:graphicData uri="http://schemas.openxmlformats.org/drawingml/2006/picture">
                <pic:pic xmlns:pic="http://schemas.openxmlformats.org/drawingml/2006/picture">
                  <pic:nvPicPr>
                    <pic:cNvPr id="17" name="Picture 2"/>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6767"/>
                    <a:stretch>
                      <a:fillRect/>
                    </a:stretch>
                  </pic:blipFill>
                  <pic:spPr bwMode="auto">
                    <a:xfrm>
                      <a:off x="0" y="0"/>
                      <a:ext cx="5760720" cy="4051368"/>
                    </a:xfrm>
                    <a:prstGeom prst="rect">
                      <a:avLst/>
                    </a:prstGeom>
                    <a:noFill/>
                    <a:ln w="9525">
                      <a:noFill/>
                      <a:miter lim="800000"/>
                      <a:headEnd/>
                      <a:tailEnd/>
                    </a:ln>
                  </pic:spPr>
                </pic:pic>
              </a:graphicData>
            </a:graphic>
          </wp:inline>
        </w:drawing>
      </w:r>
    </w:p>
    <w:p w:rsidR="00194664" w:rsidRPr="0071434F" w:rsidRDefault="0071434F" w:rsidP="0071434F">
      <w:pPr>
        <w:pStyle w:val="Legenda"/>
        <w:rPr>
          <w:color w:val="auto"/>
        </w:rPr>
      </w:pPr>
      <w:bookmarkStart w:id="372" w:name="_Toc427675206"/>
      <w:r w:rsidRPr="0071434F">
        <w:rPr>
          <w:color w:val="auto"/>
        </w:rPr>
        <w:t xml:space="preserve">Rysunek </w:t>
      </w:r>
      <w:r w:rsidR="00A93FFF" w:rsidRPr="0071434F">
        <w:rPr>
          <w:color w:val="auto"/>
        </w:rPr>
        <w:fldChar w:fldCharType="begin"/>
      </w:r>
      <w:r w:rsidRPr="0071434F">
        <w:rPr>
          <w:color w:val="auto"/>
        </w:rPr>
        <w:instrText xml:space="preserve"> SEQ Rysunek \* ARABIC </w:instrText>
      </w:r>
      <w:r w:rsidR="00A93FFF" w:rsidRPr="0071434F">
        <w:rPr>
          <w:color w:val="auto"/>
        </w:rPr>
        <w:fldChar w:fldCharType="separate"/>
      </w:r>
      <w:r w:rsidR="00871648">
        <w:rPr>
          <w:noProof/>
          <w:color w:val="auto"/>
        </w:rPr>
        <w:t>2</w:t>
      </w:r>
      <w:r w:rsidR="00A93FFF" w:rsidRPr="0071434F">
        <w:rPr>
          <w:color w:val="auto"/>
        </w:rPr>
        <w:fldChar w:fldCharType="end"/>
      </w:r>
      <w:r w:rsidRPr="0071434F">
        <w:rPr>
          <w:color w:val="auto"/>
        </w:rPr>
        <w:t xml:space="preserve">. Parametry techniczne </w:t>
      </w:r>
      <w:proofErr w:type="spellStart"/>
      <w:r w:rsidRPr="0071434F">
        <w:rPr>
          <w:color w:val="auto"/>
        </w:rPr>
        <w:t>mikroturbiny</w:t>
      </w:r>
      <w:proofErr w:type="spellEnd"/>
      <w:r w:rsidRPr="0071434F">
        <w:rPr>
          <w:color w:val="auto"/>
        </w:rPr>
        <w:t xml:space="preserve"> wiatrowej (http://generatory-wiatrowe.pl/?page_id=21)</w:t>
      </w:r>
      <w:bookmarkEnd w:id="372"/>
    </w:p>
    <w:p w:rsidR="00B2069F" w:rsidRDefault="00B2069F" w:rsidP="00B2069F">
      <w:pPr>
        <w:tabs>
          <w:tab w:val="left" w:pos="1470"/>
        </w:tabs>
        <w:spacing w:line="360" w:lineRule="auto"/>
      </w:pPr>
    </w:p>
    <w:p w:rsidR="00B2069F" w:rsidRPr="00B2069F" w:rsidRDefault="00B2069F" w:rsidP="00B2069F">
      <w:pPr>
        <w:tabs>
          <w:tab w:val="left" w:pos="1470"/>
        </w:tabs>
        <w:spacing w:line="360" w:lineRule="auto"/>
      </w:pPr>
      <w:r w:rsidRPr="00B2069F">
        <w:t xml:space="preserve">Moc pojedynczej turbiny to 1 - 1,2 </w:t>
      </w:r>
      <w:proofErr w:type="spellStart"/>
      <w:r w:rsidRPr="00B2069F">
        <w:t>kW</w:t>
      </w:r>
      <w:proofErr w:type="spellEnd"/>
      <w:r w:rsidRPr="00B2069F">
        <w:t xml:space="preserve">, a roczny uzysk energii przy średniej prędkości wiatru wynoszącej 5 m/s, wynosi ok. 1 500 </w:t>
      </w:r>
      <w:proofErr w:type="spellStart"/>
      <w:r w:rsidRPr="00B2069F">
        <w:t>MWh</w:t>
      </w:r>
      <w:proofErr w:type="spellEnd"/>
      <w:r w:rsidRPr="00B2069F">
        <w:t>. Koszt budowy instalacji to ok. 10 000 zł/</w:t>
      </w:r>
      <w:proofErr w:type="spellStart"/>
      <w:r w:rsidRPr="00B2069F">
        <w:t>kW</w:t>
      </w:r>
      <w:proofErr w:type="spellEnd"/>
      <w:r w:rsidRPr="00B2069F">
        <w:t xml:space="preserve"> mocy siłowni. </w:t>
      </w:r>
    </w:p>
    <w:p w:rsidR="00B2069F" w:rsidRDefault="00B2069F" w:rsidP="00B2069F">
      <w:pPr>
        <w:tabs>
          <w:tab w:val="left" w:pos="1470"/>
        </w:tabs>
        <w:spacing w:line="360" w:lineRule="auto"/>
      </w:pPr>
      <w:r w:rsidRPr="00B2069F">
        <w:t>Energia wytworzona w turbinie wykorzystywana jest w pierwszej kolejności na pokrycie potrzeb obiektu, do którego jest przyłączona, a nadwyżki energii mogą zostać odsprzedane do sieci elektroenergetycznej.</w:t>
      </w:r>
    </w:p>
    <w:p w:rsidR="004E3043" w:rsidRDefault="004E3043" w:rsidP="00B2069F">
      <w:pPr>
        <w:tabs>
          <w:tab w:val="left" w:pos="1470"/>
        </w:tabs>
        <w:spacing w:line="360" w:lineRule="auto"/>
      </w:pPr>
    </w:p>
    <w:p w:rsidR="004E3043" w:rsidRPr="00B2069F" w:rsidRDefault="004E3043" w:rsidP="00B2069F">
      <w:pPr>
        <w:tabs>
          <w:tab w:val="left" w:pos="1470"/>
        </w:tabs>
        <w:spacing w:line="360" w:lineRule="auto"/>
      </w:pPr>
    </w:p>
    <w:p w:rsidR="006C24D5" w:rsidRPr="001B4F24" w:rsidRDefault="006C24D5" w:rsidP="001B4F24">
      <w:pPr>
        <w:pStyle w:val="Nagwek2"/>
      </w:pPr>
      <w:bookmarkStart w:id="373" w:name="_Toc427566557"/>
      <w:bookmarkStart w:id="374" w:name="_Toc427675596"/>
      <w:bookmarkStart w:id="375" w:name="_Toc427734996"/>
      <w:r w:rsidRPr="001B4F24">
        <w:lastRenderedPageBreak/>
        <w:t>Podsumowanie</w:t>
      </w:r>
      <w:bookmarkEnd w:id="373"/>
      <w:bookmarkEnd w:id="374"/>
      <w:bookmarkEnd w:id="375"/>
    </w:p>
    <w:tbl>
      <w:tblPr>
        <w:tblStyle w:val="Jasnalistaakcent5"/>
        <w:tblW w:w="91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92"/>
        <w:gridCol w:w="87"/>
        <w:gridCol w:w="99"/>
        <w:gridCol w:w="4501"/>
      </w:tblGrid>
      <w:tr w:rsidR="006C24D5" w:rsidRPr="00EE15D9" w:rsidTr="004E3043">
        <w:trPr>
          <w:cnfStyle w:val="100000000000"/>
        </w:trPr>
        <w:tc>
          <w:tcPr>
            <w:cnfStyle w:val="001000000000"/>
            <w:tcW w:w="4579" w:type="dxa"/>
            <w:gridSpan w:val="2"/>
          </w:tcPr>
          <w:p w:rsidR="006C24D5" w:rsidRPr="004E3043" w:rsidRDefault="006C24D5" w:rsidP="00231D05">
            <w:pPr>
              <w:tabs>
                <w:tab w:val="left" w:pos="1200"/>
              </w:tabs>
              <w:jc w:val="center"/>
              <w:rPr>
                <w:b w:val="0"/>
                <w:lang w:eastAsia="pl-PL"/>
              </w:rPr>
            </w:pPr>
            <w:r w:rsidRPr="004E3043">
              <w:rPr>
                <w:lang w:eastAsia="pl-PL"/>
              </w:rPr>
              <w:t>Mocne strony</w:t>
            </w:r>
          </w:p>
        </w:tc>
        <w:tc>
          <w:tcPr>
            <w:tcW w:w="4600" w:type="dxa"/>
            <w:gridSpan w:val="2"/>
          </w:tcPr>
          <w:p w:rsidR="006C24D5" w:rsidRPr="004E3043" w:rsidRDefault="006C24D5" w:rsidP="00231D05">
            <w:pPr>
              <w:tabs>
                <w:tab w:val="left" w:pos="1200"/>
              </w:tabs>
              <w:jc w:val="center"/>
              <w:cnfStyle w:val="100000000000"/>
              <w:rPr>
                <w:b w:val="0"/>
                <w:lang w:eastAsia="pl-PL"/>
              </w:rPr>
            </w:pPr>
            <w:r w:rsidRPr="004E3043">
              <w:rPr>
                <w:lang w:eastAsia="pl-PL"/>
              </w:rPr>
              <w:t>Słabe strony</w:t>
            </w:r>
          </w:p>
        </w:tc>
      </w:tr>
      <w:tr w:rsidR="006C24D5" w:rsidRPr="00EE15D9" w:rsidTr="004E3043">
        <w:trPr>
          <w:cnfStyle w:val="000000100000"/>
        </w:trPr>
        <w:tc>
          <w:tcPr>
            <w:cnfStyle w:val="001000000000"/>
            <w:tcW w:w="9179" w:type="dxa"/>
            <w:gridSpan w:val="4"/>
          </w:tcPr>
          <w:p w:rsidR="006C24D5" w:rsidRPr="00EE15D9" w:rsidRDefault="006C24D5" w:rsidP="00231D05">
            <w:pPr>
              <w:tabs>
                <w:tab w:val="left" w:pos="1200"/>
              </w:tabs>
              <w:jc w:val="center"/>
              <w:rPr>
                <w:b w:val="0"/>
                <w:sz w:val="20"/>
                <w:szCs w:val="20"/>
                <w:lang w:eastAsia="pl-PL"/>
              </w:rPr>
            </w:pPr>
            <w:r w:rsidRPr="00EE15D9">
              <w:rPr>
                <w:sz w:val="20"/>
                <w:szCs w:val="20"/>
                <w:lang w:eastAsia="pl-PL"/>
              </w:rPr>
              <w:t>Energetyka geotermalna</w:t>
            </w:r>
          </w:p>
        </w:tc>
      </w:tr>
      <w:tr w:rsidR="006C24D5" w:rsidRPr="00EE15D9" w:rsidTr="004E3043">
        <w:tc>
          <w:tcPr>
            <w:cnfStyle w:val="001000000000"/>
            <w:tcW w:w="4492" w:type="dxa"/>
          </w:tcPr>
          <w:p w:rsidR="006C24D5" w:rsidRPr="004E3043" w:rsidRDefault="006C24D5" w:rsidP="00775439">
            <w:pPr>
              <w:pStyle w:val="Akapitzlist"/>
              <w:numPr>
                <w:ilvl w:val="0"/>
                <w:numId w:val="43"/>
              </w:numPr>
              <w:ind w:left="372"/>
              <w:jc w:val="left"/>
              <w:rPr>
                <w:rFonts w:ascii="Georgia" w:hAnsi="Georgia"/>
                <w:b w:val="0"/>
                <w:sz w:val="20"/>
                <w:szCs w:val="20"/>
                <w:lang w:eastAsia="pl-PL"/>
              </w:rPr>
            </w:pPr>
            <w:r w:rsidRPr="004E3043">
              <w:rPr>
                <w:rFonts w:ascii="Georgia" w:hAnsi="Georgia"/>
                <w:sz w:val="20"/>
                <w:szCs w:val="20"/>
                <w:lang w:eastAsia="pl-PL"/>
              </w:rPr>
              <w:t>Dostępność niezależnie od warunków pogodowych.</w:t>
            </w:r>
          </w:p>
          <w:p w:rsidR="006C24D5" w:rsidRPr="004E3043" w:rsidRDefault="006C24D5" w:rsidP="00775439">
            <w:pPr>
              <w:pStyle w:val="Akapitzlist"/>
              <w:numPr>
                <w:ilvl w:val="0"/>
                <w:numId w:val="43"/>
              </w:numPr>
              <w:ind w:left="372"/>
              <w:jc w:val="left"/>
              <w:rPr>
                <w:rFonts w:ascii="Georgia" w:hAnsi="Georgia"/>
                <w:b w:val="0"/>
                <w:sz w:val="20"/>
                <w:szCs w:val="20"/>
                <w:lang w:eastAsia="pl-PL"/>
              </w:rPr>
            </w:pPr>
            <w:r w:rsidRPr="004E3043">
              <w:rPr>
                <w:rFonts w:ascii="Georgia" w:hAnsi="Georgia"/>
                <w:sz w:val="20"/>
                <w:szCs w:val="20"/>
                <w:lang w:eastAsia="pl-PL"/>
              </w:rPr>
              <w:t>Stosunkowo niski koszt eksploatacji.</w:t>
            </w:r>
          </w:p>
          <w:p w:rsidR="006C24D5" w:rsidRPr="004E3043" w:rsidRDefault="006C24D5" w:rsidP="00775439">
            <w:pPr>
              <w:pStyle w:val="Akapitzlist"/>
              <w:numPr>
                <w:ilvl w:val="0"/>
                <w:numId w:val="43"/>
              </w:numPr>
              <w:ind w:left="372"/>
              <w:jc w:val="left"/>
              <w:rPr>
                <w:rFonts w:ascii="Georgia" w:hAnsi="Georgia"/>
                <w:b w:val="0"/>
                <w:sz w:val="20"/>
                <w:szCs w:val="20"/>
                <w:lang w:eastAsia="pl-PL"/>
              </w:rPr>
            </w:pPr>
            <w:r w:rsidRPr="004E3043">
              <w:rPr>
                <w:rFonts w:ascii="Georgia" w:hAnsi="Georgia"/>
                <w:sz w:val="20"/>
                <w:szCs w:val="20"/>
                <w:lang w:eastAsia="pl-PL"/>
              </w:rPr>
              <w:t>Brak szkodliwego oddziaływania na środowisko naturalne.</w:t>
            </w:r>
          </w:p>
          <w:p w:rsidR="006C24D5" w:rsidRPr="004E3043" w:rsidRDefault="006C24D5" w:rsidP="00775439">
            <w:pPr>
              <w:pStyle w:val="Akapitzlist"/>
              <w:numPr>
                <w:ilvl w:val="0"/>
                <w:numId w:val="43"/>
              </w:numPr>
              <w:ind w:left="372"/>
              <w:jc w:val="left"/>
              <w:rPr>
                <w:rFonts w:ascii="Georgia" w:hAnsi="Georgia"/>
                <w:b w:val="0"/>
                <w:sz w:val="20"/>
                <w:szCs w:val="20"/>
                <w:lang w:eastAsia="pl-PL"/>
              </w:rPr>
            </w:pPr>
            <w:r w:rsidRPr="004E3043">
              <w:rPr>
                <w:rFonts w:ascii="Georgia" w:hAnsi="Georgia"/>
                <w:sz w:val="20"/>
                <w:szCs w:val="20"/>
                <w:lang w:eastAsia="pl-PL"/>
              </w:rPr>
              <w:t>Brak niekorzystnego wpływu na krajobraz.</w:t>
            </w:r>
          </w:p>
        </w:tc>
        <w:tc>
          <w:tcPr>
            <w:tcW w:w="4687" w:type="dxa"/>
            <w:gridSpan w:val="3"/>
          </w:tcPr>
          <w:p w:rsidR="006C24D5" w:rsidRPr="004E3043" w:rsidRDefault="006C24D5" w:rsidP="00775439">
            <w:pPr>
              <w:pStyle w:val="Akapitzlist"/>
              <w:numPr>
                <w:ilvl w:val="0"/>
                <w:numId w:val="43"/>
              </w:numPr>
              <w:jc w:val="left"/>
              <w:cnfStyle w:val="000000000000"/>
              <w:rPr>
                <w:rFonts w:ascii="Georgia" w:hAnsi="Georgia"/>
                <w:sz w:val="20"/>
                <w:szCs w:val="20"/>
                <w:lang w:eastAsia="pl-PL"/>
              </w:rPr>
            </w:pPr>
            <w:r w:rsidRPr="004E3043">
              <w:rPr>
                <w:rFonts w:ascii="Georgia" w:hAnsi="Georgia"/>
                <w:sz w:val="20"/>
                <w:szCs w:val="20"/>
                <w:lang w:eastAsia="pl-PL"/>
              </w:rPr>
              <w:t>Ryzyko zanieczyszczenia powietrza oraz wód powierzchniowych i głębinowych przez szkodliwe gazy i minerały.</w:t>
            </w:r>
          </w:p>
          <w:p w:rsidR="006C24D5" w:rsidRPr="004E3043" w:rsidRDefault="006C24D5" w:rsidP="00775439">
            <w:pPr>
              <w:pStyle w:val="Akapitzlist"/>
              <w:numPr>
                <w:ilvl w:val="0"/>
                <w:numId w:val="43"/>
              </w:numPr>
              <w:jc w:val="left"/>
              <w:cnfStyle w:val="000000000000"/>
              <w:rPr>
                <w:rFonts w:ascii="Georgia" w:hAnsi="Georgia"/>
                <w:sz w:val="20"/>
                <w:szCs w:val="20"/>
                <w:lang w:eastAsia="pl-PL"/>
              </w:rPr>
            </w:pPr>
            <w:r w:rsidRPr="004E3043">
              <w:rPr>
                <w:rFonts w:ascii="Georgia" w:hAnsi="Georgia"/>
                <w:sz w:val="20"/>
                <w:szCs w:val="20"/>
                <w:lang w:eastAsia="pl-PL"/>
              </w:rPr>
              <w:t>Budowa instalacji wiąże się z dużym nakładem inwestycyjnym.</w:t>
            </w:r>
          </w:p>
          <w:p w:rsidR="006C24D5" w:rsidRPr="004E3043" w:rsidRDefault="006C24D5" w:rsidP="00231D05">
            <w:pPr>
              <w:pStyle w:val="Akapitzlist"/>
              <w:jc w:val="left"/>
              <w:cnfStyle w:val="000000000000"/>
              <w:rPr>
                <w:rFonts w:ascii="Georgia" w:hAnsi="Georgia"/>
                <w:sz w:val="20"/>
                <w:szCs w:val="20"/>
                <w:lang w:eastAsia="pl-PL"/>
              </w:rPr>
            </w:pPr>
          </w:p>
        </w:tc>
      </w:tr>
      <w:tr w:rsidR="006C24D5" w:rsidRPr="00EE15D9" w:rsidTr="004E3043">
        <w:trPr>
          <w:cnfStyle w:val="000000100000"/>
        </w:trPr>
        <w:tc>
          <w:tcPr>
            <w:cnfStyle w:val="001000000000"/>
            <w:tcW w:w="9179" w:type="dxa"/>
            <w:gridSpan w:val="4"/>
          </w:tcPr>
          <w:p w:rsidR="006C24D5" w:rsidRPr="00EE15D9" w:rsidRDefault="006C24D5" w:rsidP="00231D05">
            <w:pPr>
              <w:tabs>
                <w:tab w:val="left" w:pos="1200"/>
              </w:tabs>
              <w:jc w:val="center"/>
              <w:rPr>
                <w:b w:val="0"/>
                <w:sz w:val="20"/>
                <w:szCs w:val="20"/>
                <w:lang w:eastAsia="pl-PL"/>
              </w:rPr>
            </w:pPr>
            <w:r w:rsidRPr="00EE15D9">
              <w:rPr>
                <w:sz w:val="20"/>
                <w:szCs w:val="20"/>
                <w:lang w:eastAsia="pl-PL"/>
              </w:rPr>
              <w:t>Pompy ciepła</w:t>
            </w:r>
          </w:p>
        </w:tc>
      </w:tr>
      <w:tr w:rsidR="006C24D5" w:rsidRPr="00EE15D9" w:rsidTr="004E3043">
        <w:tc>
          <w:tcPr>
            <w:cnfStyle w:val="001000000000"/>
            <w:tcW w:w="4678" w:type="dxa"/>
            <w:gridSpan w:val="3"/>
          </w:tcPr>
          <w:p w:rsidR="006C24D5" w:rsidRPr="004E3043" w:rsidRDefault="006C24D5" w:rsidP="00775439">
            <w:pPr>
              <w:pStyle w:val="Akapitzlist"/>
              <w:numPr>
                <w:ilvl w:val="0"/>
                <w:numId w:val="48"/>
              </w:numPr>
              <w:ind w:left="372"/>
              <w:jc w:val="left"/>
              <w:rPr>
                <w:rFonts w:ascii="Georgia" w:hAnsi="Georgia"/>
                <w:b w:val="0"/>
                <w:sz w:val="20"/>
                <w:szCs w:val="20"/>
                <w:lang w:eastAsia="pl-PL"/>
              </w:rPr>
            </w:pPr>
            <w:r w:rsidRPr="004E3043">
              <w:rPr>
                <w:rFonts w:ascii="Georgia" w:hAnsi="Georgia"/>
                <w:sz w:val="20"/>
                <w:szCs w:val="20"/>
                <w:lang w:eastAsia="pl-PL"/>
              </w:rPr>
              <w:t xml:space="preserve">Odpowiednio dobrana do powierzchni i kubatury obiektu pompa ciepła jest całkowicie bezobsługowa. </w:t>
            </w:r>
          </w:p>
          <w:p w:rsidR="006C24D5" w:rsidRPr="004E3043" w:rsidRDefault="006C24D5" w:rsidP="00775439">
            <w:pPr>
              <w:pStyle w:val="Akapitzlist"/>
              <w:numPr>
                <w:ilvl w:val="0"/>
                <w:numId w:val="48"/>
              </w:numPr>
              <w:ind w:left="372"/>
              <w:jc w:val="left"/>
              <w:rPr>
                <w:rFonts w:ascii="Georgia" w:hAnsi="Georgia"/>
                <w:b w:val="0"/>
                <w:sz w:val="20"/>
                <w:szCs w:val="20"/>
                <w:lang w:eastAsia="pl-PL"/>
              </w:rPr>
            </w:pPr>
            <w:r w:rsidRPr="004E3043">
              <w:rPr>
                <w:rFonts w:ascii="Georgia" w:hAnsi="Georgia"/>
                <w:sz w:val="20"/>
                <w:szCs w:val="20"/>
                <w:lang w:eastAsia="pl-PL"/>
              </w:rPr>
              <w:t>Najbezpieczniejszy sposób ogrzewania obiektu (brak ryzyka wybuchu).</w:t>
            </w:r>
          </w:p>
          <w:p w:rsidR="006C24D5" w:rsidRPr="004E3043" w:rsidRDefault="006C24D5" w:rsidP="00775439">
            <w:pPr>
              <w:pStyle w:val="Akapitzlist"/>
              <w:numPr>
                <w:ilvl w:val="0"/>
                <w:numId w:val="48"/>
              </w:numPr>
              <w:ind w:left="372"/>
              <w:jc w:val="left"/>
              <w:rPr>
                <w:rFonts w:ascii="Georgia" w:hAnsi="Georgia"/>
                <w:b w:val="0"/>
                <w:sz w:val="20"/>
                <w:szCs w:val="20"/>
                <w:lang w:eastAsia="pl-PL"/>
              </w:rPr>
            </w:pPr>
            <w:r w:rsidRPr="004E3043">
              <w:rPr>
                <w:rFonts w:ascii="Georgia" w:hAnsi="Georgia"/>
                <w:sz w:val="20"/>
                <w:szCs w:val="20"/>
                <w:lang w:eastAsia="pl-PL"/>
              </w:rPr>
              <w:t>Możliwość montażu w niemal każdym typie budynku.</w:t>
            </w:r>
          </w:p>
        </w:tc>
        <w:tc>
          <w:tcPr>
            <w:tcW w:w="4501" w:type="dxa"/>
          </w:tcPr>
          <w:p w:rsidR="006C24D5" w:rsidRPr="004E3043" w:rsidRDefault="006C24D5" w:rsidP="00775439">
            <w:pPr>
              <w:pStyle w:val="Akapitzlist"/>
              <w:numPr>
                <w:ilvl w:val="0"/>
                <w:numId w:val="44"/>
              </w:numPr>
              <w:ind w:left="318"/>
              <w:jc w:val="left"/>
              <w:cnfStyle w:val="000000000000"/>
              <w:rPr>
                <w:rFonts w:ascii="Georgia" w:hAnsi="Georgia"/>
                <w:sz w:val="20"/>
                <w:szCs w:val="20"/>
                <w:lang w:eastAsia="pl-PL"/>
              </w:rPr>
            </w:pPr>
            <w:r w:rsidRPr="004E3043">
              <w:rPr>
                <w:rFonts w:ascii="Georgia" w:hAnsi="Georgia"/>
                <w:sz w:val="20"/>
                <w:szCs w:val="20"/>
                <w:lang w:eastAsia="pl-PL"/>
              </w:rPr>
              <w:t>Wysokie koszty zakupu i instalacji</w:t>
            </w:r>
          </w:p>
          <w:p w:rsidR="006C24D5" w:rsidRPr="004E3043" w:rsidRDefault="006C24D5" w:rsidP="00775439">
            <w:pPr>
              <w:pStyle w:val="Akapitzlist"/>
              <w:numPr>
                <w:ilvl w:val="0"/>
                <w:numId w:val="44"/>
              </w:numPr>
              <w:ind w:left="318"/>
              <w:jc w:val="left"/>
              <w:cnfStyle w:val="000000000000"/>
              <w:rPr>
                <w:rFonts w:ascii="Georgia" w:hAnsi="Georgia"/>
                <w:sz w:val="20"/>
                <w:szCs w:val="20"/>
                <w:lang w:eastAsia="pl-PL"/>
              </w:rPr>
            </w:pPr>
            <w:r w:rsidRPr="004E3043">
              <w:rPr>
                <w:rFonts w:ascii="Georgia" w:hAnsi="Georgia"/>
                <w:sz w:val="20"/>
                <w:szCs w:val="20"/>
                <w:lang w:eastAsia="pl-PL"/>
              </w:rPr>
              <w:t xml:space="preserve">Uzależnienie działania od energii elektrycznej. </w:t>
            </w:r>
          </w:p>
          <w:p w:rsidR="006C24D5" w:rsidRPr="004E3043" w:rsidRDefault="006C24D5" w:rsidP="00775439">
            <w:pPr>
              <w:pStyle w:val="Akapitzlist"/>
              <w:numPr>
                <w:ilvl w:val="0"/>
                <w:numId w:val="44"/>
              </w:numPr>
              <w:ind w:left="318"/>
              <w:jc w:val="left"/>
              <w:cnfStyle w:val="000000000000"/>
              <w:rPr>
                <w:rFonts w:ascii="Georgia" w:hAnsi="Georgia"/>
                <w:sz w:val="20"/>
                <w:szCs w:val="20"/>
                <w:lang w:eastAsia="pl-PL"/>
              </w:rPr>
            </w:pPr>
            <w:r w:rsidRPr="004E3043">
              <w:rPr>
                <w:rFonts w:ascii="Georgia" w:hAnsi="Georgia"/>
                <w:sz w:val="20"/>
                <w:szCs w:val="20"/>
                <w:lang w:eastAsia="pl-PL"/>
              </w:rPr>
              <w:t>Poziome wymienniki ciepła zajmują dużo miejsca.</w:t>
            </w:r>
          </w:p>
        </w:tc>
      </w:tr>
      <w:tr w:rsidR="006C24D5" w:rsidRPr="00EE15D9" w:rsidTr="004E3043">
        <w:trPr>
          <w:cnfStyle w:val="000000100000"/>
        </w:trPr>
        <w:tc>
          <w:tcPr>
            <w:cnfStyle w:val="001000000000"/>
            <w:tcW w:w="9179" w:type="dxa"/>
            <w:gridSpan w:val="4"/>
          </w:tcPr>
          <w:p w:rsidR="006C24D5" w:rsidRPr="00EE15D9" w:rsidRDefault="006C24D5" w:rsidP="00231D05">
            <w:pPr>
              <w:ind w:left="318"/>
              <w:jc w:val="center"/>
              <w:rPr>
                <w:b w:val="0"/>
                <w:sz w:val="20"/>
                <w:szCs w:val="20"/>
                <w:lang w:eastAsia="pl-PL"/>
              </w:rPr>
            </w:pPr>
            <w:r w:rsidRPr="00EE15D9">
              <w:rPr>
                <w:sz w:val="20"/>
                <w:szCs w:val="20"/>
                <w:lang w:eastAsia="pl-PL"/>
              </w:rPr>
              <w:t>Instalacje fotowoltaiczne</w:t>
            </w:r>
          </w:p>
        </w:tc>
      </w:tr>
      <w:tr w:rsidR="006C24D5" w:rsidRPr="00EE15D9" w:rsidTr="004E3043">
        <w:tc>
          <w:tcPr>
            <w:cnfStyle w:val="001000000000"/>
            <w:tcW w:w="4678" w:type="dxa"/>
            <w:gridSpan w:val="3"/>
          </w:tcPr>
          <w:p w:rsidR="006C24D5" w:rsidRPr="004E3043" w:rsidRDefault="006C24D5" w:rsidP="00775439">
            <w:pPr>
              <w:pStyle w:val="Akapitzlist"/>
              <w:numPr>
                <w:ilvl w:val="0"/>
                <w:numId w:val="45"/>
              </w:numPr>
              <w:ind w:left="318"/>
              <w:jc w:val="left"/>
              <w:rPr>
                <w:rFonts w:ascii="Georgia" w:hAnsi="Georgia"/>
                <w:b w:val="0"/>
                <w:sz w:val="20"/>
                <w:szCs w:val="20"/>
                <w:lang w:eastAsia="pl-PL"/>
              </w:rPr>
            </w:pPr>
            <w:r w:rsidRPr="004E3043">
              <w:rPr>
                <w:rFonts w:ascii="Georgia" w:hAnsi="Georgia"/>
                <w:sz w:val="20"/>
                <w:szCs w:val="20"/>
                <w:lang w:eastAsia="pl-PL"/>
              </w:rPr>
              <w:t>Duża żywotność.</w:t>
            </w:r>
          </w:p>
          <w:p w:rsidR="006C24D5" w:rsidRPr="004E3043" w:rsidRDefault="006C24D5" w:rsidP="00775439">
            <w:pPr>
              <w:pStyle w:val="Akapitzlist"/>
              <w:numPr>
                <w:ilvl w:val="0"/>
                <w:numId w:val="45"/>
              </w:numPr>
              <w:ind w:left="318"/>
              <w:jc w:val="left"/>
              <w:rPr>
                <w:rFonts w:ascii="Georgia" w:hAnsi="Georgia"/>
                <w:b w:val="0"/>
                <w:sz w:val="20"/>
                <w:szCs w:val="20"/>
                <w:lang w:eastAsia="pl-PL"/>
              </w:rPr>
            </w:pPr>
            <w:r w:rsidRPr="004E3043">
              <w:rPr>
                <w:rFonts w:ascii="Georgia" w:hAnsi="Georgia"/>
                <w:sz w:val="20"/>
                <w:szCs w:val="20"/>
                <w:lang w:eastAsia="pl-PL"/>
              </w:rPr>
              <w:t>W zasadzie bezobsługowa eksploatacja.</w:t>
            </w:r>
          </w:p>
          <w:p w:rsidR="006C24D5" w:rsidRPr="004E3043" w:rsidRDefault="006C24D5" w:rsidP="00775439">
            <w:pPr>
              <w:pStyle w:val="Akapitzlist"/>
              <w:numPr>
                <w:ilvl w:val="0"/>
                <w:numId w:val="45"/>
              </w:numPr>
              <w:ind w:left="318"/>
              <w:jc w:val="left"/>
              <w:rPr>
                <w:rFonts w:ascii="Georgia" w:hAnsi="Georgia"/>
                <w:b w:val="0"/>
                <w:sz w:val="20"/>
                <w:szCs w:val="20"/>
                <w:lang w:eastAsia="pl-PL"/>
              </w:rPr>
            </w:pPr>
            <w:r w:rsidRPr="004E3043">
              <w:rPr>
                <w:rFonts w:ascii="Georgia" w:hAnsi="Georgia"/>
                <w:sz w:val="20"/>
                <w:szCs w:val="20"/>
                <w:lang w:eastAsia="pl-PL"/>
              </w:rPr>
              <w:t>Możliwość odsprzedaży nadwyżek energii do sieci elektroenergetycznej.</w:t>
            </w:r>
          </w:p>
          <w:p w:rsidR="006C24D5" w:rsidRPr="004E3043" w:rsidRDefault="006C24D5" w:rsidP="00775439">
            <w:pPr>
              <w:pStyle w:val="Akapitzlist"/>
              <w:numPr>
                <w:ilvl w:val="0"/>
                <w:numId w:val="45"/>
              </w:numPr>
              <w:ind w:left="318"/>
              <w:jc w:val="left"/>
              <w:rPr>
                <w:rFonts w:ascii="Georgia" w:hAnsi="Georgia"/>
                <w:b w:val="0"/>
                <w:sz w:val="20"/>
                <w:szCs w:val="20"/>
                <w:lang w:eastAsia="pl-PL"/>
              </w:rPr>
            </w:pPr>
            <w:r w:rsidRPr="004E3043">
              <w:rPr>
                <w:rFonts w:ascii="Georgia" w:hAnsi="Georgia"/>
                <w:sz w:val="20"/>
                <w:szCs w:val="20"/>
                <w:lang w:eastAsia="pl-PL"/>
              </w:rPr>
              <w:t xml:space="preserve">Uproszczona procedura administracyjna dla </w:t>
            </w:r>
            <w:proofErr w:type="spellStart"/>
            <w:r w:rsidRPr="004E3043">
              <w:rPr>
                <w:rFonts w:ascii="Georgia" w:hAnsi="Georgia"/>
                <w:sz w:val="20"/>
                <w:szCs w:val="20"/>
                <w:lang w:eastAsia="pl-PL"/>
              </w:rPr>
              <w:t>mikroinstalacji</w:t>
            </w:r>
            <w:proofErr w:type="spellEnd"/>
            <w:r w:rsidRPr="004E3043">
              <w:rPr>
                <w:rFonts w:ascii="Georgia" w:hAnsi="Georgia"/>
                <w:sz w:val="20"/>
                <w:szCs w:val="20"/>
                <w:lang w:eastAsia="pl-PL"/>
              </w:rPr>
              <w:t xml:space="preserve"> do 40 </w:t>
            </w:r>
            <w:proofErr w:type="spellStart"/>
            <w:r w:rsidRPr="004E3043">
              <w:rPr>
                <w:rFonts w:ascii="Georgia" w:hAnsi="Georgia"/>
                <w:sz w:val="20"/>
                <w:szCs w:val="20"/>
                <w:lang w:eastAsia="pl-PL"/>
              </w:rPr>
              <w:t>kW</w:t>
            </w:r>
            <w:proofErr w:type="spellEnd"/>
            <w:r w:rsidRPr="004E3043">
              <w:rPr>
                <w:rFonts w:ascii="Georgia" w:hAnsi="Georgia"/>
                <w:sz w:val="20"/>
                <w:szCs w:val="20"/>
                <w:lang w:eastAsia="pl-PL"/>
              </w:rPr>
              <w:t>.</w:t>
            </w:r>
          </w:p>
        </w:tc>
        <w:tc>
          <w:tcPr>
            <w:tcW w:w="4501" w:type="dxa"/>
          </w:tcPr>
          <w:p w:rsidR="006C24D5" w:rsidRPr="004E3043" w:rsidRDefault="006C24D5" w:rsidP="00775439">
            <w:pPr>
              <w:pStyle w:val="Akapitzlist"/>
              <w:numPr>
                <w:ilvl w:val="0"/>
                <w:numId w:val="45"/>
              </w:numPr>
              <w:ind w:left="318"/>
              <w:jc w:val="left"/>
              <w:cnfStyle w:val="000000000000"/>
              <w:rPr>
                <w:rFonts w:ascii="Georgia" w:hAnsi="Georgia"/>
                <w:sz w:val="20"/>
                <w:szCs w:val="20"/>
                <w:lang w:eastAsia="pl-PL"/>
              </w:rPr>
            </w:pPr>
            <w:r w:rsidRPr="004E3043">
              <w:rPr>
                <w:rFonts w:ascii="Georgia" w:hAnsi="Georgia"/>
                <w:sz w:val="20"/>
                <w:szCs w:val="20"/>
                <w:lang w:eastAsia="pl-PL"/>
              </w:rPr>
              <w:t xml:space="preserve">Duże wahania wytwarzanej energii na przestrzeni roku (bardzo niska wydajność </w:t>
            </w:r>
            <w:r w:rsidRPr="004E3043">
              <w:rPr>
                <w:rFonts w:ascii="Georgia" w:hAnsi="Georgia"/>
                <w:sz w:val="20"/>
                <w:szCs w:val="20"/>
                <w:lang w:eastAsia="pl-PL"/>
              </w:rPr>
              <w:br/>
              <w:t>w okresie zimowym) i doby.</w:t>
            </w:r>
          </w:p>
          <w:p w:rsidR="006C24D5" w:rsidRPr="004E3043" w:rsidRDefault="006C24D5" w:rsidP="00231D05">
            <w:pPr>
              <w:ind w:left="318"/>
              <w:jc w:val="left"/>
              <w:cnfStyle w:val="000000000000"/>
              <w:rPr>
                <w:sz w:val="20"/>
                <w:szCs w:val="20"/>
                <w:lang w:eastAsia="pl-PL"/>
              </w:rPr>
            </w:pPr>
          </w:p>
        </w:tc>
      </w:tr>
      <w:tr w:rsidR="006C24D5" w:rsidRPr="00EE15D9" w:rsidTr="004E3043">
        <w:trPr>
          <w:cnfStyle w:val="000000100000"/>
        </w:trPr>
        <w:tc>
          <w:tcPr>
            <w:cnfStyle w:val="001000000000"/>
            <w:tcW w:w="9179" w:type="dxa"/>
            <w:gridSpan w:val="4"/>
          </w:tcPr>
          <w:p w:rsidR="006C24D5" w:rsidRPr="00EE15D9" w:rsidRDefault="006C24D5" w:rsidP="00231D05">
            <w:pPr>
              <w:ind w:left="318"/>
              <w:jc w:val="center"/>
              <w:rPr>
                <w:b w:val="0"/>
                <w:sz w:val="20"/>
                <w:szCs w:val="20"/>
                <w:lang w:eastAsia="pl-PL"/>
              </w:rPr>
            </w:pPr>
            <w:r w:rsidRPr="00EE15D9">
              <w:rPr>
                <w:sz w:val="20"/>
                <w:szCs w:val="20"/>
                <w:lang w:eastAsia="pl-PL"/>
              </w:rPr>
              <w:t>Kolektory słoneczne</w:t>
            </w:r>
          </w:p>
        </w:tc>
      </w:tr>
      <w:tr w:rsidR="006C24D5" w:rsidRPr="00EE15D9" w:rsidTr="004E3043">
        <w:tc>
          <w:tcPr>
            <w:cnfStyle w:val="001000000000"/>
            <w:tcW w:w="4678" w:type="dxa"/>
            <w:gridSpan w:val="3"/>
          </w:tcPr>
          <w:p w:rsidR="006C24D5" w:rsidRPr="004E3043" w:rsidRDefault="006C24D5" w:rsidP="00775439">
            <w:pPr>
              <w:pStyle w:val="Akapitzlist"/>
              <w:numPr>
                <w:ilvl w:val="0"/>
                <w:numId w:val="47"/>
              </w:numPr>
              <w:ind w:left="318"/>
              <w:jc w:val="left"/>
              <w:rPr>
                <w:rFonts w:ascii="Georgia" w:hAnsi="Georgia"/>
                <w:b w:val="0"/>
                <w:sz w:val="20"/>
                <w:szCs w:val="20"/>
                <w:lang w:eastAsia="pl-PL"/>
              </w:rPr>
            </w:pPr>
            <w:r w:rsidRPr="004E3043">
              <w:rPr>
                <w:rFonts w:ascii="Georgia" w:hAnsi="Georgia"/>
                <w:sz w:val="20"/>
                <w:szCs w:val="20"/>
                <w:lang w:eastAsia="pl-PL"/>
              </w:rPr>
              <w:t>Niski koszt początkowy inwestycji.</w:t>
            </w:r>
          </w:p>
          <w:p w:rsidR="006C24D5" w:rsidRPr="004E3043" w:rsidRDefault="006C24D5" w:rsidP="00775439">
            <w:pPr>
              <w:pStyle w:val="Akapitzlist"/>
              <w:numPr>
                <w:ilvl w:val="0"/>
                <w:numId w:val="47"/>
              </w:numPr>
              <w:ind w:left="318"/>
              <w:jc w:val="left"/>
              <w:rPr>
                <w:rFonts w:ascii="Georgia" w:hAnsi="Georgia"/>
                <w:b w:val="0"/>
                <w:sz w:val="20"/>
                <w:szCs w:val="20"/>
                <w:lang w:eastAsia="pl-PL"/>
              </w:rPr>
            </w:pPr>
            <w:r w:rsidRPr="004E3043">
              <w:rPr>
                <w:rFonts w:ascii="Georgia" w:hAnsi="Georgia"/>
                <w:sz w:val="20"/>
                <w:szCs w:val="20"/>
                <w:lang w:eastAsia="pl-PL"/>
              </w:rPr>
              <w:t>Brak konieczności uzyskiwania pozwoleń lokalnych na realizację inwestycji.</w:t>
            </w:r>
          </w:p>
        </w:tc>
        <w:tc>
          <w:tcPr>
            <w:tcW w:w="4501" w:type="dxa"/>
          </w:tcPr>
          <w:p w:rsidR="006C24D5" w:rsidRPr="004E3043" w:rsidRDefault="006C24D5" w:rsidP="00775439">
            <w:pPr>
              <w:pStyle w:val="Akapitzlist"/>
              <w:numPr>
                <w:ilvl w:val="0"/>
                <w:numId w:val="46"/>
              </w:numPr>
              <w:ind w:left="371" w:hanging="425"/>
              <w:jc w:val="left"/>
              <w:cnfStyle w:val="000000000000"/>
              <w:rPr>
                <w:rFonts w:ascii="Georgia" w:hAnsi="Georgia"/>
                <w:sz w:val="20"/>
                <w:szCs w:val="20"/>
                <w:lang w:eastAsia="pl-PL"/>
              </w:rPr>
            </w:pPr>
            <w:r w:rsidRPr="004E3043">
              <w:rPr>
                <w:rFonts w:ascii="Georgia" w:hAnsi="Georgia"/>
                <w:sz w:val="20"/>
                <w:szCs w:val="20"/>
                <w:lang w:eastAsia="pl-PL"/>
              </w:rPr>
              <w:t>Niska rentowność.</w:t>
            </w:r>
          </w:p>
          <w:p w:rsidR="006C24D5" w:rsidRPr="004E3043" w:rsidRDefault="006C24D5" w:rsidP="00775439">
            <w:pPr>
              <w:pStyle w:val="Akapitzlist"/>
              <w:numPr>
                <w:ilvl w:val="0"/>
                <w:numId w:val="46"/>
              </w:numPr>
              <w:ind w:left="371" w:hanging="425"/>
              <w:jc w:val="left"/>
              <w:cnfStyle w:val="000000000000"/>
              <w:rPr>
                <w:rFonts w:ascii="Georgia" w:hAnsi="Georgia"/>
                <w:sz w:val="20"/>
                <w:szCs w:val="20"/>
                <w:lang w:eastAsia="pl-PL"/>
              </w:rPr>
            </w:pPr>
            <w:r w:rsidRPr="004E3043">
              <w:rPr>
                <w:rFonts w:ascii="Georgia" w:hAnsi="Georgia"/>
                <w:sz w:val="20"/>
                <w:szCs w:val="20"/>
                <w:lang w:eastAsia="pl-PL"/>
              </w:rPr>
              <w:t>Konieczność konserwacji już po pierwszych kilku latach eksploatacji.</w:t>
            </w:r>
          </w:p>
          <w:p w:rsidR="006C24D5" w:rsidRPr="004E3043" w:rsidRDefault="006C24D5" w:rsidP="00775439">
            <w:pPr>
              <w:pStyle w:val="Akapitzlist"/>
              <w:numPr>
                <w:ilvl w:val="0"/>
                <w:numId w:val="46"/>
              </w:numPr>
              <w:ind w:left="371" w:hanging="425"/>
              <w:jc w:val="left"/>
              <w:cnfStyle w:val="000000000000"/>
              <w:rPr>
                <w:rFonts w:ascii="Georgia" w:hAnsi="Georgia"/>
                <w:sz w:val="20"/>
                <w:szCs w:val="20"/>
                <w:lang w:eastAsia="pl-PL"/>
              </w:rPr>
            </w:pPr>
            <w:r w:rsidRPr="004E3043">
              <w:rPr>
                <w:rFonts w:ascii="Georgia" w:hAnsi="Georgia"/>
                <w:sz w:val="20"/>
                <w:szCs w:val="20"/>
                <w:lang w:eastAsia="pl-PL"/>
              </w:rPr>
              <w:t>Brak możliwości odsprzedaży nadwyżek wytworzonego ciepła.</w:t>
            </w:r>
          </w:p>
          <w:p w:rsidR="006C24D5" w:rsidRPr="004E3043" w:rsidRDefault="006C24D5" w:rsidP="00775439">
            <w:pPr>
              <w:pStyle w:val="Akapitzlist"/>
              <w:numPr>
                <w:ilvl w:val="0"/>
                <w:numId w:val="46"/>
              </w:numPr>
              <w:ind w:left="371" w:hanging="425"/>
              <w:jc w:val="left"/>
              <w:cnfStyle w:val="000000000000"/>
              <w:rPr>
                <w:rFonts w:ascii="Georgia" w:hAnsi="Georgia"/>
                <w:sz w:val="20"/>
                <w:szCs w:val="20"/>
                <w:lang w:eastAsia="pl-PL"/>
              </w:rPr>
            </w:pPr>
            <w:r w:rsidRPr="004E3043">
              <w:rPr>
                <w:rFonts w:ascii="Georgia" w:hAnsi="Georgia"/>
                <w:sz w:val="20"/>
                <w:szCs w:val="20"/>
                <w:lang w:eastAsia="pl-PL"/>
              </w:rPr>
              <w:t>Duże wahania wytwarzania energii na przestrzeni roku i doby.</w:t>
            </w:r>
          </w:p>
        </w:tc>
      </w:tr>
      <w:tr w:rsidR="006C24D5" w:rsidRPr="00EE15D9" w:rsidTr="004E3043">
        <w:trPr>
          <w:cnfStyle w:val="000000100000"/>
        </w:trPr>
        <w:tc>
          <w:tcPr>
            <w:cnfStyle w:val="001000000000"/>
            <w:tcW w:w="9179" w:type="dxa"/>
            <w:gridSpan w:val="4"/>
          </w:tcPr>
          <w:p w:rsidR="006C24D5" w:rsidRPr="00EE15D9" w:rsidRDefault="006C24D5" w:rsidP="00231D05">
            <w:pPr>
              <w:jc w:val="center"/>
              <w:rPr>
                <w:sz w:val="20"/>
                <w:szCs w:val="20"/>
                <w:lang w:eastAsia="pl-PL"/>
              </w:rPr>
            </w:pPr>
            <w:r w:rsidRPr="00EE15D9">
              <w:rPr>
                <w:sz w:val="20"/>
                <w:szCs w:val="20"/>
                <w:lang w:eastAsia="pl-PL"/>
              </w:rPr>
              <w:t>Turbiny wiatrowe</w:t>
            </w:r>
          </w:p>
        </w:tc>
      </w:tr>
      <w:tr w:rsidR="006C24D5" w:rsidRPr="00EE15D9" w:rsidTr="004E3043">
        <w:tc>
          <w:tcPr>
            <w:cnfStyle w:val="001000000000"/>
            <w:tcW w:w="4678" w:type="dxa"/>
            <w:gridSpan w:val="3"/>
          </w:tcPr>
          <w:p w:rsidR="006C24D5" w:rsidRPr="004E3043" w:rsidRDefault="006C24D5" w:rsidP="00775439">
            <w:pPr>
              <w:pStyle w:val="Akapitzlist"/>
              <w:numPr>
                <w:ilvl w:val="0"/>
                <w:numId w:val="44"/>
              </w:numPr>
              <w:ind w:left="318"/>
              <w:jc w:val="left"/>
              <w:rPr>
                <w:rFonts w:ascii="Georgia" w:hAnsi="Georgia"/>
                <w:b w:val="0"/>
                <w:sz w:val="20"/>
                <w:szCs w:val="20"/>
                <w:lang w:eastAsia="pl-PL"/>
              </w:rPr>
            </w:pPr>
            <w:r w:rsidRPr="004E3043">
              <w:rPr>
                <w:rFonts w:ascii="Georgia" w:hAnsi="Georgia"/>
                <w:sz w:val="20"/>
                <w:szCs w:val="20"/>
                <w:lang w:eastAsia="pl-PL"/>
              </w:rPr>
              <w:t>Wysoka wydajność produkcji energii.</w:t>
            </w:r>
          </w:p>
          <w:p w:rsidR="006C24D5" w:rsidRPr="004E3043" w:rsidRDefault="006C24D5" w:rsidP="00775439">
            <w:pPr>
              <w:pStyle w:val="Akapitzlist"/>
              <w:numPr>
                <w:ilvl w:val="0"/>
                <w:numId w:val="44"/>
              </w:numPr>
              <w:ind w:left="318"/>
              <w:jc w:val="left"/>
              <w:rPr>
                <w:rFonts w:ascii="Georgia" w:hAnsi="Georgia"/>
                <w:b w:val="0"/>
                <w:sz w:val="20"/>
                <w:szCs w:val="20"/>
                <w:lang w:eastAsia="pl-PL"/>
              </w:rPr>
            </w:pPr>
            <w:r w:rsidRPr="004E3043">
              <w:rPr>
                <w:rFonts w:ascii="Georgia" w:hAnsi="Georgia"/>
                <w:sz w:val="20"/>
                <w:szCs w:val="20"/>
                <w:lang w:eastAsia="pl-PL"/>
              </w:rPr>
              <w:t>Możliwość odsprzedaży nadwyżek energii do sieci elektroenergetycznej.</w:t>
            </w:r>
          </w:p>
          <w:p w:rsidR="006C24D5" w:rsidRPr="004E3043" w:rsidRDefault="006C24D5" w:rsidP="00231D05">
            <w:pPr>
              <w:pStyle w:val="Akapitzlist"/>
              <w:ind w:left="318"/>
              <w:jc w:val="left"/>
              <w:rPr>
                <w:rFonts w:ascii="Georgia" w:hAnsi="Georgia"/>
                <w:b w:val="0"/>
                <w:sz w:val="20"/>
                <w:szCs w:val="20"/>
                <w:lang w:eastAsia="pl-PL"/>
              </w:rPr>
            </w:pPr>
          </w:p>
        </w:tc>
        <w:tc>
          <w:tcPr>
            <w:tcW w:w="4501" w:type="dxa"/>
          </w:tcPr>
          <w:p w:rsidR="006C24D5" w:rsidRPr="004E3043" w:rsidRDefault="006C24D5" w:rsidP="00775439">
            <w:pPr>
              <w:pStyle w:val="Akapitzlist"/>
              <w:numPr>
                <w:ilvl w:val="0"/>
                <w:numId w:val="44"/>
              </w:numPr>
              <w:ind w:left="318"/>
              <w:jc w:val="left"/>
              <w:cnfStyle w:val="000000000000"/>
              <w:rPr>
                <w:rFonts w:ascii="Georgia" w:hAnsi="Georgia"/>
                <w:sz w:val="20"/>
                <w:szCs w:val="20"/>
                <w:lang w:eastAsia="pl-PL"/>
              </w:rPr>
            </w:pPr>
            <w:r w:rsidRPr="004E3043">
              <w:rPr>
                <w:rFonts w:ascii="Georgia" w:hAnsi="Georgia"/>
                <w:sz w:val="20"/>
                <w:szCs w:val="20"/>
                <w:lang w:eastAsia="pl-PL"/>
              </w:rPr>
              <w:t>Konieczność przeprowadzenia badań wietrzności.</w:t>
            </w:r>
          </w:p>
          <w:p w:rsidR="006C24D5" w:rsidRPr="004E3043" w:rsidRDefault="006C24D5" w:rsidP="00775439">
            <w:pPr>
              <w:pStyle w:val="Akapitzlist"/>
              <w:numPr>
                <w:ilvl w:val="0"/>
                <w:numId w:val="44"/>
              </w:numPr>
              <w:ind w:left="318"/>
              <w:jc w:val="left"/>
              <w:cnfStyle w:val="000000000000"/>
              <w:rPr>
                <w:rFonts w:ascii="Georgia" w:hAnsi="Georgia"/>
                <w:sz w:val="20"/>
                <w:szCs w:val="20"/>
                <w:lang w:eastAsia="pl-PL"/>
              </w:rPr>
            </w:pPr>
            <w:r w:rsidRPr="004E3043">
              <w:rPr>
                <w:rFonts w:ascii="Georgia" w:hAnsi="Georgia"/>
                <w:sz w:val="20"/>
                <w:szCs w:val="20"/>
                <w:lang w:eastAsia="pl-PL"/>
              </w:rPr>
              <w:t>Kontrowersje społeczne związane z zaburzeniem równowagi krajobrazu.</w:t>
            </w:r>
          </w:p>
          <w:p w:rsidR="006C24D5" w:rsidRPr="004E3043" w:rsidRDefault="006C24D5" w:rsidP="00775439">
            <w:pPr>
              <w:pStyle w:val="Akapitzlist"/>
              <w:numPr>
                <w:ilvl w:val="0"/>
                <w:numId w:val="44"/>
              </w:numPr>
              <w:ind w:left="318"/>
              <w:jc w:val="left"/>
              <w:cnfStyle w:val="000000000000"/>
              <w:rPr>
                <w:rFonts w:ascii="Georgia" w:hAnsi="Georgia"/>
                <w:sz w:val="20"/>
                <w:szCs w:val="20"/>
                <w:lang w:eastAsia="pl-PL"/>
              </w:rPr>
            </w:pPr>
            <w:r w:rsidRPr="004E3043">
              <w:rPr>
                <w:rFonts w:ascii="Georgia" w:hAnsi="Georgia"/>
                <w:sz w:val="20"/>
                <w:szCs w:val="20"/>
                <w:lang w:eastAsia="pl-PL"/>
              </w:rPr>
              <w:t xml:space="preserve">Konieczność uzyskania pozwolenia na </w:t>
            </w:r>
            <w:r w:rsidRPr="004E3043">
              <w:rPr>
                <w:rFonts w:ascii="Georgia" w:hAnsi="Georgia"/>
                <w:sz w:val="20"/>
                <w:szCs w:val="20"/>
                <w:lang w:eastAsia="pl-PL"/>
              </w:rPr>
              <w:lastRenderedPageBreak/>
              <w:t>budowę.</w:t>
            </w:r>
          </w:p>
        </w:tc>
      </w:tr>
    </w:tbl>
    <w:p w:rsidR="006C24D5" w:rsidRPr="008A1F5F" w:rsidRDefault="006C24D5" w:rsidP="006C24D5">
      <w:pPr>
        <w:rPr>
          <w:rFonts w:ascii="Trebuchet MS" w:hAnsi="Trebuchet MS"/>
          <w:lang w:eastAsia="pl-PL"/>
        </w:rPr>
      </w:pPr>
    </w:p>
    <w:p w:rsidR="006C24D5" w:rsidRPr="00EE15D9" w:rsidRDefault="006C24D5" w:rsidP="006C24D5">
      <w:pPr>
        <w:pStyle w:val="Nagwek1"/>
      </w:pPr>
      <w:bookmarkStart w:id="376" w:name="_Toc409437369"/>
      <w:bookmarkStart w:id="377" w:name="_Toc423587986"/>
      <w:bookmarkStart w:id="378" w:name="_Toc427566558"/>
      <w:bookmarkStart w:id="379" w:name="_Toc427675597"/>
      <w:bookmarkStart w:id="380" w:name="_Toc427734997"/>
      <w:r w:rsidRPr="00EE15D9">
        <w:t xml:space="preserve">Propozycje i wnioski dla programu działań w zakresie energetycznego rozwoju </w:t>
      </w:r>
      <w:bookmarkEnd w:id="376"/>
      <w:bookmarkEnd w:id="377"/>
      <w:bookmarkEnd w:id="378"/>
      <w:r>
        <w:t>gminy Strawczyn</w:t>
      </w:r>
      <w:bookmarkEnd w:id="379"/>
      <w:bookmarkEnd w:id="380"/>
    </w:p>
    <w:p w:rsidR="006C24D5" w:rsidRPr="006C24D5" w:rsidRDefault="006C24D5" w:rsidP="006C24D5">
      <w:pPr>
        <w:tabs>
          <w:tab w:val="left" w:pos="1470"/>
        </w:tabs>
        <w:spacing w:line="360" w:lineRule="auto"/>
        <w:rPr>
          <w:bCs/>
        </w:rPr>
      </w:pPr>
      <w:r w:rsidRPr="006C24D5">
        <w:t xml:space="preserve">Zgodnie z ustawą Prawo energetyczne do zadań samorządu terytorialnego należy planowanie i organizacja zaopatrzenia w nośniki energii. Nałożone przez Prawo energetyczne na gminy obowiązki w tym zakresie stanowią rozszerzenie i uszczegółowienie zadań własnych gminy wymienionych w Ustawie o samorządzie gminnym. Oba wskazane akty prawne stanowią podstawę do podejmowania przez gminę działań planistycznych dotyczących zaopatrzenia jej mieszkańców w ciepło, energię elektryczną i paliwa gazowe. Bazując na zaktualizowanych </w:t>
      </w:r>
      <w:r w:rsidRPr="006C24D5">
        <w:br/>
        <w:t xml:space="preserve">w niniejszym opracowaniu założeniach do planu zaopatrzenia w ciepło, energię elektryczną </w:t>
      </w:r>
      <w:r w:rsidRPr="006C24D5">
        <w:br/>
      </w:r>
      <w:r>
        <w:t>i paliwa gazowe, gmina Strawczyn</w:t>
      </w:r>
      <w:r w:rsidRPr="006C24D5">
        <w:t xml:space="preserve"> odpowiedzialne za zorganizowanie zaopatrzenia </w:t>
      </w:r>
      <w:r w:rsidRPr="006C24D5">
        <w:br/>
        <w:t>w ciepło, energię elektryczną i paliwa gazowe na obszarze gminy, powinno przygotować zalecenia dla przedsiębiorstw energetycznych, których dzi</w:t>
      </w:r>
      <w:r>
        <w:t>ałalność obejmuje obszar gminy Strawczyn</w:t>
      </w:r>
      <w:r w:rsidRPr="006C24D5">
        <w:t>.</w:t>
      </w:r>
    </w:p>
    <w:p w:rsidR="006C24D5" w:rsidRPr="006C24D5" w:rsidRDefault="006C24D5" w:rsidP="006C24D5">
      <w:pPr>
        <w:tabs>
          <w:tab w:val="left" w:pos="1470"/>
        </w:tabs>
        <w:spacing w:line="360" w:lineRule="auto"/>
      </w:pPr>
      <w:r w:rsidRPr="006C24D5">
        <w:t xml:space="preserve">Głównym zadaniem </w:t>
      </w:r>
      <w:r>
        <w:t>spoczywającym na władzach Gminy</w:t>
      </w:r>
      <w:r w:rsidRPr="006C24D5">
        <w:t xml:space="preserve"> jest zdefiniowanie celów społeczno-ekonomicznych,</w:t>
      </w:r>
      <w:r w:rsidR="00F90117">
        <w:t xml:space="preserve"> które powinna</w:t>
      </w:r>
      <w:r>
        <w:t xml:space="preserve"> realizować Gmina</w:t>
      </w:r>
      <w:r w:rsidRPr="006C24D5">
        <w:t xml:space="preserve">, zarówno w odniesieniu do całej </w:t>
      </w:r>
      <w:r>
        <w:t>gospodarki Gminy</w:t>
      </w:r>
      <w:r w:rsidRPr="006C24D5">
        <w:t xml:space="preserve"> jak też jej gospodarki energetycznej. Cele</w:t>
      </w:r>
      <w:r>
        <w:t xml:space="preserve"> gospodarki energetycznej Gminy</w:t>
      </w:r>
      <w:r w:rsidRPr="006C24D5">
        <w:t xml:space="preserve"> w wielu przypadkach przenikają się i są współzależne z celami gospodarki energetycznej państwa i regionu, konieczne jest zatem uwzględnienie występujących w tym za</w:t>
      </w:r>
      <w:r>
        <w:t>kresie powiązań. Gminy</w:t>
      </w:r>
      <w:r w:rsidRPr="006C24D5">
        <w:t xml:space="preserve"> współuczestniczy w realizacji uniwersalnych celów związanych </w:t>
      </w:r>
      <w:r w:rsidRPr="006C24D5">
        <w:br/>
        <w:t>z zarządzaniem gospodarką środowiska przyrodniczego, a także potrzebami energetycznymi przedsiębiorstw produkcyjnych i usługowych działających na jej terenie, jak też zaspoko</w:t>
      </w:r>
      <w:r>
        <w:t>jenia potrzeb mieszkańców Gminy</w:t>
      </w:r>
      <w:r w:rsidRPr="006C24D5">
        <w:t xml:space="preserve"> (zapewnienie komfortu energetycznego i określonego poziomu życia).</w:t>
      </w:r>
    </w:p>
    <w:p w:rsidR="006C24D5" w:rsidRPr="006C24D5" w:rsidRDefault="006C24D5" w:rsidP="006C24D5">
      <w:pPr>
        <w:tabs>
          <w:tab w:val="left" w:pos="1470"/>
        </w:tabs>
        <w:spacing w:line="360" w:lineRule="auto"/>
      </w:pPr>
      <w:r w:rsidRPr="006C24D5">
        <w:t xml:space="preserve">Podstawowe cele jakie musi spełnić jednostka samorządu terytorialnego zostały przedstawione poniżej (źródło: </w:t>
      </w:r>
      <w:r w:rsidRPr="006C24D5">
        <w:rPr>
          <w:i/>
        </w:rPr>
        <w:t xml:space="preserve">Planowanie zaopatrzenia w ciepło, energię elektryczna </w:t>
      </w:r>
      <w:r w:rsidRPr="006C24D5">
        <w:rPr>
          <w:i/>
        </w:rPr>
        <w:br/>
        <w:t>i paliwa gazowe w małych i średnich gminach – poradnik</w:t>
      </w:r>
      <w:r w:rsidRPr="006C24D5">
        <w:t xml:space="preserve">): </w:t>
      </w:r>
    </w:p>
    <w:p w:rsidR="006C24D5" w:rsidRPr="006C24D5" w:rsidRDefault="006C24D5" w:rsidP="00775439">
      <w:pPr>
        <w:numPr>
          <w:ilvl w:val="0"/>
          <w:numId w:val="49"/>
        </w:numPr>
        <w:tabs>
          <w:tab w:val="left" w:pos="1470"/>
        </w:tabs>
        <w:spacing w:line="360" w:lineRule="auto"/>
      </w:pPr>
      <w:r w:rsidRPr="006C24D5">
        <w:t>zapewnienie niezawodnego i pełnego zaspokojenia potrzeb energetycznych odbiorców (zróżnicowanie źródeł zaopatrzenia w energię i paliwa, stworzenie producentom warunków do odtwarzania i rozwoju podaży paliw i energii;</w:t>
      </w:r>
    </w:p>
    <w:p w:rsidR="006C24D5" w:rsidRPr="006C24D5" w:rsidRDefault="006C24D5" w:rsidP="00775439">
      <w:pPr>
        <w:numPr>
          <w:ilvl w:val="0"/>
          <w:numId w:val="49"/>
        </w:numPr>
        <w:tabs>
          <w:tab w:val="left" w:pos="1470"/>
        </w:tabs>
        <w:spacing w:line="360" w:lineRule="auto"/>
      </w:pPr>
      <w:r w:rsidRPr="006C24D5">
        <w:t>zapewnienie perspektywicznych dostaw i dostępności do zróżnicowanych nośników energii);</w:t>
      </w:r>
    </w:p>
    <w:p w:rsidR="006C24D5" w:rsidRPr="006C24D5" w:rsidRDefault="006C24D5" w:rsidP="00775439">
      <w:pPr>
        <w:numPr>
          <w:ilvl w:val="0"/>
          <w:numId w:val="49"/>
        </w:numPr>
        <w:tabs>
          <w:tab w:val="left" w:pos="1470"/>
        </w:tabs>
        <w:spacing w:line="360" w:lineRule="auto"/>
      </w:pPr>
      <w:r w:rsidRPr="006C24D5">
        <w:lastRenderedPageBreak/>
        <w:t>minimalizację kosztów zaspokajania potrzeb energetycznych odbiorców (stworzenie rynku i możliwości konkurencji producentów energii i paliw, wprowadzenie w życie antymonopolowych regulacji warunków i cen dostawy paliw i energii, realizację strategii zaspokajania potrzeb według zasady najmniejszych kosztów);</w:t>
      </w:r>
    </w:p>
    <w:p w:rsidR="006C24D5" w:rsidRPr="006C24D5" w:rsidRDefault="006C24D5" w:rsidP="00775439">
      <w:pPr>
        <w:numPr>
          <w:ilvl w:val="0"/>
          <w:numId w:val="49"/>
        </w:numPr>
        <w:tabs>
          <w:tab w:val="left" w:pos="1470"/>
        </w:tabs>
        <w:spacing w:line="360" w:lineRule="auto"/>
      </w:pPr>
      <w:r w:rsidRPr="006C24D5">
        <w:t xml:space="preserve">zmniejszenie obciążenia środowiska naturalnego związanego z produkcją </w:t>
      </w:r>
      <w:r w:rsidRPr="006C24D5">
        <w:br/>
        <w:t>i użytkowaniem energii (restrukturyzacja zakładów przemysłowych znajdujących się na ter</w:t>
      </w:r>
      <w:r w:rsidR="00F90117">
        <w:t>enie Gminy</w:t>
      </w:r>
      <w:r w:rsidRPr="006C24D5">
        <w:t xml:space="preserve"> pod kątem zwiększenia zatrudnienia i ekologicznej struktury produkcji, rozwijanie systemów paliwowo-energetycznych i infrastruktury mniej uciążliwych dla środowiska nośników energii-gaz, energia elektryczna itp., przy uwzględnieniu zasady najmniejszych kosztów społecznych, ograniczeniu emisji zanieczyszczeń powietrza, wody i gleby - w celu zmniejszenia zagrożenia dla życ</w:t>
      </w:r>
      <w:r w:rsidR="00F90117">
        <w:t xml:space="preserve">ia </w:t>
      </w:r>
      <w:r w:rsidR="00F90117">
        <w:br/>
        <w:t>i zdrowia mieszkańców Gminy</w:t>
      </w:r>
      <w:r w:rsidRPr="006C24D5">
        <w:t>);</w:t>
      </w:r>
    </w:p>
    <w:p w:rsidR="00B2069F" w:rsidRPr="00E86628" w:rsidRDefault="006C24D5" w:rsidP="00775439">
      <w:pPr>
        <w:numPr>
          <w:ilvl w:val="0"/>
          <w:numId w:val="49"/>
        </w:numPr>
        <w:tabs>
          <w:tab w:val="left" w:pos="1470"/>
        </w:tabs>
        <w:spacing w:line="360" w:lineRule="auto"/>
      </w:pPr>
      <w:r w:rsidRPr="006C24D5">
        <w:t>uzyskanie społecznego przyzwolenia i poparcia dla realizacji zintegrowanych programów ekonomicznych, energetycznych i ekologicznych (upowszec</w:t>
      </w:r>
      <w:r w:rsidR="00F90117">
        <w:t>hnienie wśród mieszkańców Gminy</w:t>
      </w:r>
      <w:r w:rsidRPr="006C24D5">
        <w:t xml:space="preserve"> i podmiotów gospodarczych informacji i decyzji odnoszących się do</w:t>
      </w:r>
      <w:r w:rsidR="00F90117">
        <w:t xml:space="preserve"> gospodarki energetycznej Gminy</w:t>
      </w:r>
      <w:r w:rsidRPr="006C24D5">
        <w:t xml:space="preserve"> i regionu), preferowanie kierunków i rozwiązań</w:t>
      </w:r>
      <w:r w:rsidRPr="006C24D5">
        <w:br/>
        <w:t xml:space="preserve"> w zintegrowanej gospodarce. </w:t>
      </w:r>
    </w:p>
    <w:sectPr w:rsidR="00B2069F" w:rsidRPr="00E86628" w:rsidSect="007152C6">
      <w:footerReference w:type="default" r:id="rId47"/>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71648" w:rsidRDefault="00871648" w:rsidP="00C012F5">
      <w:pPr>
        <w:spacing w:after="0" w:line="240" w:lineRule="auto"/>
      </w:pPr>
      <w:r>
        <w:separator/>
      </w:r>
    </w:p>
  </w:endnote>
  <w:endnote w:type="continuationSeparator" w:id="1">
    <w:p w:rsidR="00871648" w:rsidRDefault="00871648" w:rsidP="00C012F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Calibri Light">
    <w:altName w:val="Calibri"/>
    <w:charset w:val="EE"/>
    <w:family w:val="swiss"/>
    <w:pitch w:val="variable"/>
    <w:sig w:usb0="00000001" w:usb1="4000207B" w:usb2="00000000" w:usb3="00000000" w:csb0="0000019F" w:csb1="00000000"/>
  </w:font>
  <w:font w:name="Cambria Math">
    <w:panose1 w:val="02040503050406030204"/>
    <w:charset w:val="EE"/>
    <w:family w:val="roman"/>
    <w:pitch w:val="variable"/>
    <w:sig w:usb0="E00002FF" w:usb1="420024FF" w:usb2="00000000" w:usb3="00000000" w:csb0="0000019F" w:csb1="00000000"/>
  </w:font>
  <w:font w:name="Vani">
    <w:panose1 w:val="020B0502040204020203"/>
    <w:charset w:val="00"/>
    <w:family w:val="swiss"/>
    <w:pitch w:val="variable"/>
    <w:sig w:usb0="002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TimesNewRoman">
    <w:altName w:val="MS Mincho"/>
    <w:panose1 w:val="00000000000000000000"/>
    <w:charset w:val="80"/>
    <w:family w:val="auto"/>
    <w:notTrueType/>
    <w:pitch w:val="default"/>
    <w:sig w:usb0="00000001" w:usb1="08070000" w:usb2="00000010" w:usb3="00000000" w:csb0="00020000" w:csb1="00000000"/>
  </w:font>
  <w:font w:name="Arial-BoldMT">
    <w:panose1 w:val="00000000000000000000"/>
    <w:charset w:val="EE"/>
    <w:family w:val="auto"/>
    <w:notTrueType/>
    <w:pitch w:val="default"/>
    <w:sig w:usb0="00000005" w:usb1="00000000" w:usb2="00000000" w:usb3="00000000" w:csb0="0000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5636530"/>
      <w:docPartObj>
        <w:docPartGallery w:val="Page Numbers (Bottom of Page)"/>
        <w:docPartUnique/>
      </w:docPartObj>
    </w:sdtPr>
    <w:sdtContent>
      <w:p w:rsidR="00871648" w:rsidRDefault="00871648">
        <w:pPr>
          <w:pStyle w:val="Stopka"/>
          <w:jc w:val="right"/>
        </w:pPr>
        <w:fldSimple w:instr="PAGE   \* MERGEFORMAT">
          <w:r w:rsidR="008765DB">
            <w:rPr>
              <w:noProof/>
            </w:rPr>
            <w:t>93</w:t>
          </w:r>
        </w:fldSimple>
      </w:p>
    </w:sdtContent>
  </w:sdt>
  <w:p w:rsidR="00871648" w:rsidRDefault="00871648" w:rsidP="00575A56">
    <w:pPr>
      <w:pStyle w:val="Stopka"/>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71648" w:rsidRDefault="00871648" w:rsidP="00C012F5">
      <w:pPr>
        <w:spacing w:after="0" w:line="240" w:lineRule="auto"/>
      </w:pPr>
      <w:r>
        <w:separator/>
      </w:r>
    </w:p>
  </w:footnote>
  <w:footnote w:type="continuationSeparator" w:id="1">
    <w:p w:rsidR="00871648" w:rsidRDefault="00871648" w:rsidP="00C012F5">
      <w:pPr>
        <w:spacing w:after="0" w:line="240" w:lineRule="auto"/>
      </w:pPr>
      <w:r>
        <w:continuationSeparator/>
      </w:r>
    </w:p>
  </w:footnote>
  <w:footnote w:id="2">
    <w:p w:rsidR="00871648" w:rsidRPr="004610F7" w:rsidRDefault="00871648" w:rsidP="00575A56">
      <w:pPr>
        <w:pStyle w:val="Tekstprzypisudolnego"/>
        <w:rPr>
          <w:rFonts w:asciiTheme="majorHAnsi" w:hAnsiTheme="majorHAnsi"/>
        </w:rPr>
      </w:pPr>
      <w:r w:rsidRPr="004610F7">
        <w:rPr>
          <w:rStyle w:val="Odwoanieprzypisudolnego"/>
          <w:rFonts w:asciiTheme="majorHAnsi" w:hAnsiTheme="majorHAnsi"/>
        </w:rPr>
        <w:footnoteRef/>
      </w:r>
      <w:r w:rsidRPr="004610F7">
        <w:rPr>
          <w:rFonts w:asciiTheme="majorHAnsi" w:hAnsiTheme="majorHAnsi"/>
        </w:rPr>
        <w:t>Ostatnia zmiana: Dz. U. z 2015 r., poz. 151</w:t>
      </w:r>
    </w:p>
  </w:footnote>
  <w:footnote w:id="3">
    <w:p w:rsidR="00871648" w:rsidRPr="00371187" w:rsidRDefault="00871648" w:rsidP="004F5745">
      <w:pPr>
        <w:pStyle w:val="Tekstprzypisudolnego"/>
        <w:rPr>
          <w:rFonts w:ascii="Trebuchet MS" w:hAnsi="Trebuchet MS"/>
        </w:rPr>
      </w:pPr>
      <w:r w:rsidRPr="00371187">
        <w:rPr>
          <w:rStyle w:val="Odwoanieprzypisudolnego"/>
          <w:rFonts w:ascii="Trebuchet MS" w:hAnsi="Trebuchet MS"/>
        </w:rPr>
        <w:footnoteRef/>
      </w:r>
      <w:proofErr w:type="spellStart"/>
      <w:r w:rsidRPr="00371187">
        <w:rPr>
          <w:rFonts w:ascii="Trebuchet MS" w:hAnsi="Trebuchet MS"/>
          <w:i/>
          <w:iCs/>
          <w:shd w:val="clear" w:color="auto" w:fill="FFFFFF"/>
        </w:rPr>
        <w:t>barrel</w:t>
      </w:r>
      <w:proofErr w:type="spellEnd"/>
      <w:r w:rsidRPr="00371187">
        <w:rPr>
          <w:rFonts w:ascii="Trebuchet MS" w:hAnsi="Trebuchet MS"/>
          <w:i/>
          <w:iCs/>
          <w:shd w:val="clear" w:color="auto" w:fill="FFFFFF"/>
        </w:rPr>
        <w:t xml:space="preserve"> of </w:t>
      </w:r>
      <w:proofErr w:type="spellStart"/>
      <w:r w:rsidRPr="00371187">
        <w:rPr>
          <w:rFonts w:ascii="Trebuchet MS" w:hAnsi="Trebuchet MS"/>
          <w:i/>
          <w:iCs/>
          <w:shd w:val="clear" w:color="auto" w:fill="FFFFFF"/>
        </w:rPr>
        <w:t>oilequivalent</w:t>
      </w:r>
      <w:r w:rsidRPr="00371187">
        <w:rPr>
          <w:rFonts w:ascii="Trebuchet MS" w:hAnsi="Trebuchet MS"/>
          <w:shd w:val="clear" w:color="auto" w:fill="FFFFFF"/>
        </w:rPr>
        <w:t>jednostka</w:t>
      </w:r>
      <w:proofErr w:type="spellEnd"/>
      <w:r w:rsidRPr="00371187">
        <w:rPr>
          <w:rFonts w:ascii="Trebuchet MS" w:hAnsi="Trebuchet MS"/>
          <w:shd w:val="clear" w:color="auto" w:fill="FFFFFF"/>
        </w:rPr>
        <w:t xml:space="preserve"> energii otrzymanej ze spalenia jednej baryłki ropy naftowej.</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04B00"/>
    <w:multiLevelType w:val="hybridMultilevel"/>
    <w:tmpl w:val="0B506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82520B8"/>
    <w:multiLevelType w:val="hybridMultilevel"/>
    <w:tmpl w:val="E3223994"/>
    <w:lvl w:ilvl="0" w:tplc="0415000D">
      <w:start w:val="1"/>
      <w:numFmt w:val="bullet"/>
      <w:lvlText w:val=""/>
      <w:lvlJc w:val="left"/>
      <w:pPr>
        <w:ind w:left="1570" w:hanging="360"/>
      </w:pPr>
      <w:rPr>
        <w:rFonts w:ascii="Wingdings" w:hAnsi="Wingdings" w:hint="default"/>
      </w:rPr>
    </w:lvl>
    <w:lvl w:ilvl="1" w:tplc="04150003">
      <w:start w:val="1"/>
      <w:numFmt w:val="bullet"/>
      <w:lvlText w:val="o"/>
      <w:lvlJc w:val="left"/>
      <w:pPr>
        <w:ind w:left="2290" w:hanging="360"/>
      </w:pPr>
      <w:rPr>
        <w:rFonts w:ascii="Courier New" w:hAnsi="Courier New" w:cs="Courier New" w:hint="default"/>
      </w:rPr>
    </w:lvl>
    <w:lvl w:ilvl="2" w:tplc="04150005" w:tentative="1">
      <w:start w:val="1"/>
      <w:numFmt w:val="bullet"/>
      <w:lvlText w:val=""/>
      <w:lvlJc w:val="left"/>
      <w:pPr>
        <w:ind w:left="3010" w:hanging="360"/>
      </w:pPr>
      <w:rPr>
        <w:rFonts w:ascii="Wingdings" w:hAnsi="Wingdings" w:hint="default"/>
      </w:rPr>
    </w:lvl>
    <w:lvl w:ilvl="3" w:tplc="04150001" w:tentative="1">
      <w:start w:val="1"/>
      <w:numFmt w:val="bullet"/>
      <w:lvlText w:val=""/>
      <w:lvlJc w:val="left"/>
      <w:pPr>
        <w:ind w:left="3730" w:hanging="360"/>
      </w:pPr>
      <w:rPr>
        <w:rFonts w:ascii="Symbol" w:hAnsi="Symbol" w:hint="default"/>
      </w:rPr>
    </w:lvl>
    <w:lvl w:ilvl="4" w:tplc="04150003" w:tentative="1">
      <w:start w:val="1"/>
      <w:numFmt w:val="bullet"/>
      <w:lvlText w:val="o"/>
      <w:lvlJc w:val="left"/>
      <w:pPr>
        <w:ind w:left="4450" w:hanging="360"/>
      </w:pPr>
      <w:rPr>
        <w:rFonts w:ascii="Courier New" w:hAnsi="Courier New" w:cs="Courier New" w:hint="default"/>
      </w:rPr>
    </w:lvl>
    <w:lvl w:ilvl="5" w:tplc="04150005" w:tentative="1">
      <w:start w:val="1"/>
      <w:numFmt w:val="bullet"/>
      <w:lvlText w:val=""/>
      <w:lvlJc w:val="left"/>
      <w:pPr>
        <w:ind w:left="5170" w:hanging="360"/>
      </w:pPr>
      <w:rPr>
        <w:rFonts w:ascii="Wingdings" w:hAnsi="Wingdings" w:hint="default"/>
      </w:rPr>
    </w:lvl>
    <w:lvl w:ilvl="6" w:tplc="04150001" w:tentative="1">
      <w:start w:val="1"/>
      <w:numFmt w:val="bullet"/>
      <w:lvlText w:val=""/>
      <w:lvlJc w:val="left"/>
      <w:pPr>
        <w:ind w:left="5890" w:hanging="360"/>
      </w:pPr>
      <w:rPr>
        <w:rFonts w:ascii="Symbol" w:hAnsi="Symbol" w:hint="default"/>
      </w:rPr>
    </w:lvl>
    <w:lvl w:ilvl="7" w:tplc="04150003" w:tentative="1">
      <w:start w:val="1"/>
      <w:numFmt w:val="bullet"/>
      <w:lvlText w:val="o"/>
      <w:lvlJc w:val="left"/>
      <w:pPr>
        <w:ind w:left="6610" w:hanging="360"/>
      </w:pPr>
      <w:rPr>
        <w:rFonts w:ascii="Courier New" w:hAnsi="Courier New" w:cs="Courier New" w:hint="default"/>
      </w:rPr>
    </w:lvl>
    <w:lvl w:ilvl="8" w:tplc="04150005" w:tentative="1">
      <w:start w:val="1"/>
      <w:numFmt w:val="bullet"/>
      <w:lvlText w:val=""/>
      <w:lvlJc w:val="left"/>
      <w:pPr>
        <w:ind w:left="7330" w:hanging="360"/>
      </w:pPr>
      <w:rPr>
        <w:rFonts w:ascii="Wingdings" w:hAnsi="Wingdings" w:hint="default"/>
      </w:rPr>
    </w:lvl>
  </w:abstractNum>
  <w:abstractNum w:abstractNumId="2">
    <w:nsid w:val="08AB477D"/>
    <w:multiLevelType w:val="hybridMultilevel"/>
    <w:tmpl w:val="9CDC27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9564722"/>
    <w:multiLevelType w:val="hybridMultilevel"/>
    <w:tmpl w:val="508EE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B073388"/>
    <w:multiLevelType w:val="hybridMultilevel"/>
    <w:tmpl w:val="60F86D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B7A74FA"/>
    <w:multiLevelType w:val="multilevel"/>
    <w:tmpl w:val="D62046EE"/>
    <w:lvl w:ilvl="0">
      <w:start w:val="1"/>
      <w:numFmt w:val="decimal"/>
      <w:pStyle w:val="Nagwek1"/>
      <w:lvlText w:val="%1"/>
      <w:lvlJc w:val="left"/>
      <w:pPr>
        <w:ind w:left="432" w:hanging="432"/>
      </w:pPr>
      <w:rPr>
        <w:rFonts w:ascii="Georgia" w:hAnsi="Georgia" w:hint="default"/>
        <w:color w:val="auto"/>
        <w:sz w:val="28"/>
      </w:rPr>
    </w:lvl>
    <w:lvl w:ilvl="1">
      <w:start w:val="1"/>
      <w:numFmt w:val="decimal"/>
      <w:pStyle w:val="Nagwek2"/>
      <w:lvlText w:val="%1.%2"/>
      <w:lvlJc w:val="left"/>
      <w:pPr>
        <w:ind w:left="576" w:hanging="576"/>
      </w:pPr>
      <w:rPr>
        <w:rFonts w:ascii="Georgia" w:hAnsi="Georgia" w:hint="default"/>
        <w:b/>
        <w:sz w:val="22"/>
      </w:rPr>
    </w:lvl>
    <w:lvl w:ilvl="2">
      <w:start w:val="1"/>
      <w:numFmt w:val="decimal"/>
      <w:pStyle w:val="Nagwek3"/>
      <w:lvlText w:val="%1.%2.%3"/>
      <w:lvlJc w:val="left"/>
      <w:pPr>
        <w:ind w:left="720" w:hanging="720"/>
      </w:pPr>
      <w:rPr>
        <w:rFonts w:ascii="Georgia" w:hAnsi="Georgia" w:hint="default"/>
        <w:b/>
        <w:i w:val="0"/>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6">
    <w:nsid w:val="0D496D87"/>
    <w:multiLevelType w:val="hybridMultilevel"/>
    <w:tmpl w:val="2634FD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30153C5"/>
    <w:multiLevelType w:val="hybridMultilevel"/>
    <w:tmpl w:val="DF682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A387E75"/>
    <w:multiLevelType w:val="hybridMultilevel"/>
    <w:tmpl w:val="2AC2AA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B9E25F5"/>
    <w:multiLevelType w:val="hybridMultilevel"/>
    <w:tmpl w:val="C1A8D0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BB93C0C"/>
    <w:multiLevelType w:val="hybridMultilevel"/>
    <w:tmpl w:val="56686A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E0D1C8D"/>
    <w:multiLevelType w:val="hybridMultilevel"/>
    <w:tmpl w:val="B2B8BC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E7E0690"/>
    <w:multiLevelType w:val="hybridMultilevel"/>
    <w:tmpl w:val="54468BB6"/>
    <w:lvl w:ilvl="0" w:tplc="518A69E4">
      <w:start w:val="1"/>
      <w:numFmt w:val="bullet"/>
      <w:lvlText w:val=""/>
      <w:lvlJc w:val="left"/>
      <w:pPr>
        <w:ind w:left="720" w:hanging="360"/>
      </w:pPr>
      <w:rPr>
        <w:rFonts w:ascii="Symbol" w:hAnsi="Symbol"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20261B72"/>
    <w:multiLevelType w:val="hybridMultilevel"/>
    <w:tmpl w:val="2556A1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2EB5167"/>
    <w:multiLevelType w:val="hybridMultilevel"/>
    <w:tmpl w:val="2AD6D2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25D76E2D"/>
    <w:multiLevelType w:val="hybridMultilevel"/>
    <w:tmpl w:val="294CD2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F003D0E"/>
    <w:multiLevelType w:val="hybridMultilevel"/>
    <w:tmpl w:val="27D467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30DE6470"/>
    <w:multiLevelType w:val="hybridMultilevel"/>
    <w:tmpl w:val="3A042AFE"/>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nsid w:val="365511D1"/>
    <w:multiLevelType w:val="hybridMultilevel"/>
    <w:tmpl w:val="517EE0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36BA4AA7"/>
    <w:multiLevelType w:val="hybridMultilevel"/>
    <w:tmpl w:val="7228DB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82358EA"/>
    <w:multiLevelType w:val="hybridMultilevel"/>
    <w:tmpl w:val="8FD68D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93C7BDE"/>
    <w:multiLevelType w:val="hybridMultilevel"/>
    <w:tmpl w:val="7F9873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CCB0A9F"/>
    <w:multiLevelType w:val="hybridMultilevel"/>
    <w:tmpl w:val="45949018"/>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nsid w:val="3D814793"/>
    <w:multiLevelType w:val="hybridMultilevel"/>
    <w:tmpl w:val="1CA06F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3EAF0676"/>
    <w:multiLevelType w:val="hybridMultilevel"/>
    <w:tmpl w:val="21E6ED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3F530DD1"/>
    <w:multiLevelType w:val="hybridMultilevel"/>
    <w:tmpl w:val="771CE9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0472D43"/>
    <w:multiLevelType w:val="hybridMultilevel"/>
    <w:tmpl w:val="617083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404D128E"/>
    <w:multiLevelType w:val="hybridMultilevel"/>
    <w:tmpl w:val="2C2E4A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2B440E3"/>
    <w:multiLevelType w:val="hybridMultilevel"/>
    <w:tmpl w:val="0DACF952"/>
    <w:lvl w:ilvl="0" w:tplc="0415000D">
      <w:start w:val="1"/>
      <w:numFmt w:val="bullet"/>
      <w:lvlText w:val=""/>
      <w:lvlJc w:val="left"/>
      <w:pPr>
        <w:ind w:left="1570" w:hanging="360"/>
      </w:pPr>
      <w:rPr>
        <w:rFonts w:ascii="Wingdings" w:hAnsi="Wingdings" w:hint="default"/>
      </w:rPr>
    </w:lvl>
    <w:lvl w:ilvl="1" w:tplc="04150003" w:tentative="1">
      <w:start w:val="1"/>
      <w:numFmt w:val="bullet"/>
      <w:lvlText w:val="o"/>
      <w:lvlJc w:val="left"/>
      <w:pPr>
        <w:ind w:left="2290" w:hanging="360"/>
      </w:pPr>
      <w:rPr>
        <w:rFonts w:ascii="Courier New" w:hAnsi="Courier New" w:cs="Courier New" w:hint="default"/>
      </w:rPr>
    </w:lvl>
    <w:lvl w:ilvl="2" w:tplc="04150005" w:tentative="1">
      <w:start w:val="1"/>
      <w:numFmt w:val="bullet"/>
      <w:lvlText w:val=""/>
      <w:lvlJc w:val="left"/>
      <w:pPr>
        <w:ind w:left="3010" w:hanging="360"/>
      </w:pPr>
      <w:rPr>
        <w:rFonts w:ascii="Wingdings" w:hAnsi="Wingdings" w:hint="default"/>
      </w:rPr>
    </w:lvl>
    <w:lvl w:ilvl="3" w:tplc="04150001" w:tentative="1">
      <w:start w:val="1"/>
      <w:numFmt w:val="bullet"/>
      <w:lvlText w:val=""/>
      <w:lvlJc w:val="left"/>
      <w:pPr>
        <w:ind w:left="3730" w:hanging="360"/>
      </w:pPr>
      <w:rPr>
        <w:rFonts w:ascii="Symbol" w:hAnsi="Symbol" w:hint="default"/>
      </w:rPr>
    </w:lvl>
    <w:lvl w:ilvl="4" w:tplc="04150003" w:tentative="1">
      <w:start w:val="1"/>
      <w:numFmt w:val="bullet"/>
      <w:lvlText w:val="o"/>
      <w:lvlJc w:val="left"/>
      <w:pPr>
        <w:ind w:left="4450" w:hanging="360"/>
      </w:pPr>
      <w:rPr>
        <w:rFonts w:ascii="Courier New" w:hAnsi="Courier New" w:cs="Courier New" w:hint="default"/>
      </w:rPr>
    </w:lvl>
    <w:lvl w:ilvl="5" w:tplc="04150005" w:tentative="1">
      <w:start w:val="1"/>
      <w:numFmt w:val="bullet"/>
      <w:lvlText w:val=""/>
      <w:lvlJc w:val="left"/>
      <w:pPr>
        <w:ind w:left="5170" w:hanging="360"/>
      </w:pPr>
      <w:rPr>
        <w:rFonts w:ascii="Wingdings" w:hAnsi="Wingdings" w:hint="default"/>
      </w:rPr>
    </w:lvl>
    <w:lvl w:ilvl="6" w:tplc="04150001" w:tentative="1">
      <w:start w:val="1"/>
      <w:numFmt w:val="bullet"/>
      <w:lvlText w:val=""/>
      <w:lvlJc w:val="left"/>
      <w:pPr>
        <w:ind w:left="5890" w:hanging="360"/>
      </w:pPr>
      <w:rPr>
        <w:rFonts w:ascii="Symbol" w:hAnsi="Symbol" w:hint="default"/>
      </w:rPr>
    </w:lvl>
    <w:lvl w:ilvl="7" w:tplc="04150003" w:tentative="1">
      <w:start w:val="1"/>
      <w:numFmt w:val="bullet"/>
      <w:lvlText w:val="o"/>
      <w:lvlJc w:val="left"/>
      <w:pPr>
        <w:ind w:left="6610" w:hanging="360"/>
      </w:pPr>
      <w:rPr>
        <w:rFonts w:ascii="Courier New" w:hAnsi="Courier New" w:cs="Courier New" w:hint="default"/>
      </w:rPr>
    </w:lvl>
    <w:lvl w:ilvl="8" w:tplc="04150005" w:tentative="1">
      <w:start w:val="1"/>
      <w:numFmt w:val="bullet"/>
      <w:lvlText w:val=""/>
      <w:lvlJc w:val="left"/>
      <w:pPr>
        <w:ind w:left="7330" w:hanging="360"/>
      </w:pPr>
      <w:rPr>
        <w:rFonts w:ascii="Wingdings" w:hAnsi="Wingdings" w:hint="default"/>
      </w:rPr>
    </w:lvl>
  </w:abstractNum>
  <w:abstractNum w:abstractNumId="29">
    <w:nsid w:val="44106B0A"/>
    <w:multiLevelType w:val="hybridMultilevel"/>
    <w:tmpl w:val="44329590"/>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nsid w:val="442877B8"/>
    <w:multiLevelType w:val="hybridMultilevel"/>
    <w:tmpl w:val="3A4017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459E729D"/>
    <w:multiLevelType w:val="hybridMultilevel"/>
    <w:tmpl w:val="28A6C2CA"/>
    <w:lvl w:ilvl="0" w:tplc="04150001">
      <w:start w:val="1"/>
      <w:numFmt w:val="bullet"/>
      <w:lvlText w:val=""/>
      <w:lvlJc w:val="left"/>
      <w:pPr>
        <w:ind w:left="720" w:hanging="360"/>
      </w:pPr>
      <w:rPr>
        <w:rFonts w:ascii="Symbol" w:hAnsi="Symbol" w:hint="default"/>
      </w:rPr>
    </w:lvl>
    <w:lvl w:ilvl="1" w:tplc="393ADF94">
      <w:numFmt w:val="bullet"/>
      <w:lvlText w:val="·"/>
      <w:lvlJc w:val="left"/>
      <w:pPr>
        <w:ind w:left="1440" w:hanging="360"/>
      </w:pPr>
      <w:rPr>
        <w:rFonts w:ascii="Trebuchet MS" w:eastAsia="Symbol" w:hAnsi="Trebuchet MS" w:cs="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4A3A52BE"/>
    <w:multiLevelType w:val="hybridMultilevel"/>
    <w:tmpl w:val="17380754"/>
    <w:lvl w:ilvl="0" w:tplc="0BCE5A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4A931AFF"/>
    <w:multiLevelType w:val="hybridMultilevel"/>
    <w:tmpl w:val="C0007260"/>
    <w:lvl w:ilvl="0" w:tplc="04150001">
      <w:start w:val="1"/>
      <w:numFmt w:val="bullet"/>
      <w:lvlText w:val=""/>
      <w:lvlJc w:val="left"/>
      <w:pPr>
        <w:ind w:left="1038" w:hanging="360"/>
      </w:pPr>
      <w:rPr>
        <w:rFonts w:ascii="Symbol" w:hAnsi="Symbol" w:hint="default"/>
      </w:rPr>
    </w:lvl>
    <w:lvl w:ilvl="1" w:tplc="04150003" w:tentative="1">
      <w:start w:val="1"/>
      <w:numFmt w:val="bullet"/>
      <w:lvlText w:val="o"/>
      <w:lvlJc w:val="left"/>
      <w:pPr>
        <w:ind w:left="1758" w:hanging="360"/>
      </w:pPr>
      <w:rPr>
        <w:rFonts w:ascii="Courier New" w:hAnsi="Courier New" w:cs="Courier New" w:hint="default"/>
      </w:rPr>
    </w:lvl>
    <w:lvl w:ilvl="2" w:tplc="04150005" w:tentative="1">
      <w:start w:val="1"/>
      <w:numFmt w:val="bullet"/>
      <w:lvlText w:val=""/>
      <w:lvlJc w:val="left"/>
      <w:pPr>
        <w:ind w:left="2478" w:hanging="360"/>
      </w:pPr>
      <w:rPr>
        <w:rFonts w:ascii="Wingdings" w:hAnsi="Wingdings" w:hint="default"/>
      </w:rPr>
    </w:lvl>
    <w:lvl w:ilvl="3" w:tplc="04150001" w:tentative="1">
      <w:start w:val="1"/>
      <w:numFmt w:val="bullet"/>
      <w:lvlText w:val=""/>
      <w:lvlJc w:val="left"/>
      <w:pPr>
        <w:ind w:left="3198" w:hanging="360"/>
      </w:pPr>
      <w:rPr>
        <w:rFonts w:ascii="Symbol" w:hAnsi="Symbol" w:hint="default"/>
      </w:rPr>
    </w:lvl>
    <w:lvl w:ilvl="4" w:tplc="04150003" w:tentative="1">
      <w:start w:val="1"/>
      <w:numFmt w:val="bullet"/>
      <w:lvlText w:val="o"/>
      <w:lvlJc w:val="left"/>
      <w:pPr>
        <w:ind w:left="3918" w:hanging="360"/>
      </w:pPr>
      <w:rPr>
        <w:rFonts w:ascii="Courier New" w:hAnsi="Courier New" w:cs="Courier New" w:hint="default"/>
      </w:rPr>
    </w:lvl>
    <w:lvl w:ilvl="5" w:tplc="04150005" w:tentative="1">
      <w:start w:val="1"/>
      <w:numFmt w:val="bullet"/>
      <w:lvlText w:val=""/>
      <w:lvlJc w:val="left"/>
      <w:pPr>
        <w:ind w:left="4638" w:hanging="360"/>
      </w:pPr>
      <w:rPr>
        <w:rFonts w:ascii="Wingdings" w:hAnsi="Wingdings" w:hint="default"/>
      </w:rPr>
    </w:lvl>
    <w:lvl w:ilvl="6" w:tplc="04150001" w:tentative="1">
      <w:start w:val="1"/>
      <w:numFmt w:val="bullet"/>
      <w:lvlText w:val=""/>
      <w:lvlJc w:val="left"/>
      <w:pPr>
        <w:ind w:left="5358" w:hanging="360"/>
      </w:pPr>
      <w:rPr>
        <w:rFonts w:ascii="Symbol" w:hAnsi="Symbol" w:hint="default"/>
      </w:rPr>
    </w:lvl>
    <w:lvl w:ilvl="7" w:tplc="04150003" w:tentative="1">
      <w:start w:val="1"/>
      <w:numFmt w:val="bullet"/>
      <w:lvlText w:val="o"/>
      <w:lvlJc w:val="left"/>
      <w:pPr>
        <w:ind w:left="6078" w:hanging="360"/>
      </w:pPr>
      <w:rPr>
        <w:rFonts w:ascii="Courier New" w:hAnsi="Courier New" w:cs="Courier New" w:hint="default"/>
      </w:rPr>
    </w:lvl>
    <w:lvl w:ilvl="8" w:tplc="04150005" w:tentative="1">
      <w:start w:val="1"/>
      <w:numFmt w:val="bullet"/>
      <w:lvlText w:val=""/>
      <w:lvlJc w:val="left"/>
      <w:pPr>
        <w:ind w:left="6798" w:hanging="360"/>
      </w:pPr>
      <w:rPr>
        <w:rFonts w:ascii="Wingdings" w:hAnsi="Wingdings" w:hint="default"/>
      </w:rPr>
    </w:lvl>
  </w:abstractNum>
  <w:abstractNum w:abstractNumId="34">
    <w:nsid w:val="4DDF28BC"/>
    <w:multiLevelType w:val="hybridMultilevel"/>
    <w:tmpl w:val="C2C206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4E8F7B30"/>
    <w:multiLevelType w:val="hybridMultilevel"/>
    <w:tmpl w:val="829E78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4F117B4C"/>
    <w:multiLevelType w:val="hybridMultilevel"/>
    <w:tmpl w:val="CCAC9DF2"/>
    <w:lvl w:ilvl="0" w:tplc="04150001">
      <w:start w:val="1"/>
      <w:numFmt w:val="bullet"/>
      <w:lvlText w:val=""/>
      <w:lvlJc w:val="left"/>
      <w:pPr>
        <w:ind w:left="720" w:hanging="360"/>
      </w:pPr>
      <w:rPr>
        <w:rFonts w:ascii="Symbol" w:hAnsi="Symbol" w:hint="default"/>
      </w:rPr>
    </w:lvl>
    <w:lvl w:ilvl="1" w:tplc="E86AD120">
      <w:numFmt w:val="bullet"/>
      <w:lvlText w:val="·"/>
      <w:lvlJc w:val="left"/>
      <w:pPr>
        <w:ind w:left="1440" w:hanging="360"/>
      </w:pPr>
      <w:rPr>
        <w:rFonts w:ascii="Times New Roman" w:eastAsia="Times New Roman"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4F984D59"/>
    <w:multiLevelType w:val="hybridMultilevel"/>
    <w:tmpl w:val="038A38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50144901"/>
    <w:multiLevelType w:val="hybridMultilevel"/>
    <w:tmpl w:val="E3F6FB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508D68B5"/>
    <w:multiLevelType w:val="hybridMultilevel"/>
    <w:tmpl w:val="724AF2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52636113"/>
    <w:multiLevelType w:val="hybridMultilevel"/>
    <w:tmpl w:val="A42242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53E1189E"/>
    <w:multiLevelType w:val="hybridMultilevel"/>
    <w:tmpl w:val="247039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58156383"/>
    <w:multiLevelType w:val="hybridMultilevel"/>
    <w:tmpl w:val="844618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5A2E52B5"/>
    <w:multiLevelType w:val="hybridMultilevel"/>
    <w:tmpl w:val="82A2E4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5AC75C91"/>
    <w:multiLevelType w:val="hybridMultilevel"/>
    <w:tmpl w:val="EB42F130"/>
    <w:lvl w:ilvl="0" w:tplc="76680C74">
      <w:start w:val="1"/>
      <w:numFmt w:val="bullet"/>
      <w:lvlText w:val=""/>
      <w:lvlJc w:val="left"/>
      <w:pPr>
        <w:ind w:left="720" w:hanging="360"/>
      </w:pPr>
      <w:rPr>
        <w:rFonts w:ascii="Symbol" w:hAnsi="Symbol"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5F19165C"/>
    <w:multiLevelType w:val="hybridMultilevel"/>
    <w:tmpl w:val="0CD00D6E"/>
    <w:lvl w:ilvl="0" w:tplc="04150001">
      <w:start w:val="1"/>
      <w:numFmt w:val="bullet"/>
      <w:lvlText w:val=""/>
      <w:lvlJc w:val="left"/>
      <w:pPr>
        <w:ind w:left="3600" w:hanging="360"/>
      </w:pPr>
      <w:rPr>
        <w:rFonts w:ascii="Symbol" w:hAnsi="Symbol" w:hint="default"/>
      </w:rPr>
    </w:lvl>
    <w:lvl w:ilvl="1" w:tplc="04150003" w:tentative="1">
      <w:start w:val="1"/>
      <w:numFmt w:val="bullet"/>
      <w:lvlText w:val="o"/>
      <w:lvlJc w:val="left"/>
      <w:pPr>
        <w:ind w:left="4320" w:hanging="360"/>
      </w:pPr>
      <w:rPr>
        <w:rFonts w:ascii="Courier New" w:hAnsi="Courier New" w:cs="Courier New" w:hint="default"/>
      </w:rPr>
    </w:lvl>
    <w:lvl w:ilvl="2" w:tplc="04150005" w:tentative="1">
      <w:start w:val="1"/>
      <w:numFmt w:val="bullet"/>
      <w:lvlText w:val=""/>
      <w:lvlJc w:val="left"/>
      <w:pPr>
        <w:ind w:left="5040" w:hanging="360"/>
      </w:pPr>
      <w:rPr>
        <w:rFonts w:ascii="Wingdings" w:hAnsi="Wingdings" w:hint="default"/>
      </w:rPr>
    </w:lvl>
    <w:lvl w:ilvl="3" w:tplc="04150001" w:tentative="1">
      <w:start w:val="1"/>
      <w:numFmt w:val="bullet"/>
      <w:lvlText w:val=""/>
      <w:lvlJc w:val="left"/>
      <w:pPr>
        <w:ind w:left="5760" w:hanging="360"/>
      </w:pPr>
      <w:rPr>
        <w:rFonts w:ascii="Symbol" w:hAnsi="Symbol" w:hint="default"/>
      </w:rPr>
    </w:lvl>
    <w:lvl w:ilvl="4" w:tplc="04150003" w:tentative="1">
      <w:start w:val="1"/>
      <w:numFmt w:val="bullet"/>
      <w:lvlText w:val="o"/>
      <w:lvlJc w:val="left"/>
      <w:pPr>
        <w:ind w:left="6480" w:hanging="360"/>
      </w:pPr>
      <w:rPr>
        <w:rFonts w:ascii="Courier New" w:hAnsi="Courier New" w:cs="Courier New" w:hint="default"/>
      </w:rPr>
    </w:lvl>
    <w:lvl w:ilvl="5" w:tplc="04150005" w:tentative="1">
      <w:start w:val="1"/>
      <w:numFmt w:val="bullet"/>
      <w:lvlText w:val=""/>
      <w:lvlJc w:val="left"/>
      <w:pPr>
        <w:ind w:left="7200" w:hanging="360"/>
      </w:pPr>
      <w:rPr>
        <w:rFonts w:ascii="Wingdings" w:hAnsi="Wingdings" w:hint="default"/>
      </w:rPr>
    </w:lvl>
    <w:lvl w:ilvl="6" w:tplc="04150001" w:tentative="1">
      <w:start w:val="1"/>
      <w:numFmt w:val="bullet"/>
      <w:lvlText w:val=""/>
      <w:lvlJc w:val="left"/>
      <w:pPr>
        <w:ind w:left="7920" w:hanging="360"/>
      </w:pPr>
      <w:rPr>
        <w:rFonts w:ascii="Symbol" w:hAnsi="Symbol" w:hint="default"/>
      </w:rPr>
    </w:lvl>
    <w:lvl w:ilvl="7" w:tplc="04150003" w:tentative="1">
      <w:start w:val="1"/>
      <w:numFmt w:val="bullet"/>
      <w:lvlText w:val="o"/>
      <w:lvlJc w:val="left"/>
      <w:pPr>
        <w:ind w:left="8640" w:hanging="360"/>
      </w:pPr>
      <w:rPr>
        <w:rFonts w:ascii="Courier New" w:hAnsi="Courier New" w:cs="Courier New" w:hint="default"/>
      </w:rPr>
    </w:lvl>
    <w:lvl w:ilvl="8" w:tplc="04150005" w:tentative="1">
      <w:start w:val="1"/>
      <w:numFmt w:val="bullet"/>
      <w:lvlText w:val=""/>
      <w:lvlJc w:val="left"/>
      <w:pPr>
        <w:ind w:left="9360" w:hanging="360"/>
      </w:pPr>
      <w:rPr>
        <w:rFonts w:ascii="Wingdings" w:hAnsi="Wingdings" w:hint="default"/>
      </w:rPr>
    </w:lvl>
  </w:abstractNum>
  <w:abstractNum w:abstractNumId="46">
    <w:nsid w:val="60A02281"/>
    <w:multiLevelType w:val="hybridMultilevel"/>
    <w:tmpl w:val="C7BE6C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66911020"/>
    <w:multiLevelType w:val="hybridMultilevel"/>
    <w:tmpl w:val="97A2C3E4"/>
    <w:lvl w:ilvl="0" w:tplc="04150001">
      <w:start w:val="1"/>
      <w:numFmt w:val="bullet"/>
      <w:lvlText w:val=""/>
      <w:lvlJc w:val="left"/>
      <w:pPr>
        <w:ind w:left="720" w:hanging="360"/>
      </w:pPr>
      <w:rPr>
        <w:rFonts w:ascii="Symbol" w:hAnsi="Symbol" w:hint="default"/>
      </w:rPr>
    </w:lvl>
    <w:lvl w:ilvl="1" w:tplc="9702C720">
      <w:start w:val="4"/>
      <w:numFmt w:val="bullet"/>
      <w:lvlText w:val="•"/>
      <w:lvlJc w:val="left"/>
      <w:pPr>
        <w:ind w:left="1440" w:hanging="360"/>
      </w:pPr>
      <w:rPr>
        <w:rFonts w:ascii="Times New Roman" w:eastAsia="Times New Roman"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67863FB6"/>
    <w:multiLevelType w:val="hybridMultilevel"/>
    <w:tmpl w:val="F0545E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687B75F5"/>
    <w:multiLevelType w:val="hybridMultilevel"/>
    <w:tmpl w:val="EEF01194"/>
    <w:lvl w:ilvl="0" w:tplc="6A967892">
      <w:start w:val="1"/>
      <w:numFmt w:val="decimal"/>
      <w:pStyle w:val="punkty"/>
      <w:lvlText w:val="%1)"/>
      <w:lvlJc w:val="left"/>
      <w:pPr>
        <w:ind w:left="644"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0">
    <w:nsid w:val="6CBB2020"/>
    <w:multiLevelType w:val="hybridMultilevel"/>
    <w:tmpl w:val="3E747C5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
    <w:nsid w:val="6FA7382E"/>
    <w:multiLevelType w:val="hybridMultilevel"/>
    <w:tmpl w:val="D8A6E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72D06007"/>
    <w:multiLevelType w:val="hybridMultilevel"/>
    <w:tmpl w:val="65525A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785F19F5"/>
    <w:multiLevelType w:val="hybridMultilevel"/>
    <w:tmpl w:val="139003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7A56105F"/>
    <w:multiLevelType w:val="hybridMultilevel"/>
    <w:tmpl w:val="834A3D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5"/>
  </w:num>
  <w:num w:numId="2">
    <w:abstractNumId w:val="21"/>
  </w:num>
  <w:num w:numId="3">
    <w:abstractNumId w:val="50"/>
  </w:num>
  <w:num w:numId="4">
    <w:abstractNumId w:val="37"/>
  </w:num>
  <w:num w:numId="5">
    <w:abstractNumId w:val="24"/>
  </w:num>
  <w:num w:numId="6">
    <w:abstractNumId w:val="49"/>
  </w:num>
  <w:num w:numId="7">
    <w:abstractNumId w:val="8"/>
  </w:num>
  <w:num w:numId="8">
    <w:abstractNumId w:val="48"/>
  </w:num>
  <w:num w:numId="9">
    <w:abstractNumId w:val="39"/>
  </w:num>
  <w:num w:numId="10">
    <w:abstractNumId w:val="31"/>
  </w:num>
  <w:num w:numId="11">
    <w:abstractNumId w:val="41"/>
  </w:num>
  <w:num w:numId="12">
    <w:abstractNumId w:val="47"/>
  </w:num>
  <w:num w:numId="13">
    <w:abstractNumId w:val="35"/>
  </w:num>
  <w:num w:numId="14">
    <w:abstractNumId w:val="7"/>
  </w:num>
  <w:num w:numId="15">
    <w:abstractNumId w:val="36"/>
  </w:num>
  <w:num w:numId="16">
    <w:abstractNumId w:val="25"/>
  </w:num>
  <w:num w:numId="17">
    <w:abstractNumId w:val="32"/>
  </w:num>
  <w:num w:numId="18">
    <w:abstractNumId w:val="34"/>
  </w:num>
  <w:num w:numId="19">
    <w:abstractNumId w:val="18"/>
  </w:num>
  <w:num w:numId="20">
    <w:abstractNumId w:val="40"/>
  </w:num>
  <w:num w:numId="21">
    <w:abstractNumId w:val="13"/>
  </w:num>
  <w:num w:numId="22">
    <w:abstractNumId w:val="23"/>
  </w:num>
  <w:num w:numId="23">
    <w:abstractNumId w:val="43"/>
  </w:num>
  <w:num w:numId="24">
    <w:abstractNumId w:val="46"/>
  </w:num>
  <w:num w:numId="25">
    <w:abstractNumId w:val="9"/>
  </w:num>
  <w:num w:numId="26">
    <w:abstractNumId w:val="19"/>
  </w:num>
  <w:num w:numId="27">
    <w:abstractNumId w:val="6"/>
  </w:num>
  <w:num w:numId="28">
    <w:abstractNumId w:val="10"/>
  </w:num>
  <w:num w:numId="29">
    <w:abstractNumId w:val="27"/>
  </w:num>
  <w:num w:numId="30">
    <w:abstractNumId w:val="0"/>
  </w:num>
  <w:num w:numId="31">
    <w:abstractNumId w:val="42"/>
  </w:num>
  <w:num w:numId="32">
    <w:abstractNumId w:val="14"/>
  </w:num>
  <w:num w:numId="33">
    <w:abstractNumId w:val="51"/>
  </w:num>
  <w:num w:numId="34">
    <w:abstractNumId w:val="16"/>
  </w:num>
  <w:num w:numId="35">
    <w:abstractNumId w:val="53"/>
  </w:num>
  <w:num w:numId="36">
    <w:abstractNumId w:val="44"/>
  </w:num>
  <w:num w:numId="37">
    <w:abstractNumId w:val="52"/>
  </w:num>
  <w:num w:numId="38">
    <w:abstractNumId w:val="4"/>
  </w:num>
  <w:num w:numId="39">
    <w:abstractNumId w:val="15"/>
  </w:num>
  <w:num w:numId="40">
    <w:abstractNumId w:val="28"/>
  </w:num>
  <w:num w:numId="41">
    <w:abstractNumId w:val="1"/>
  </w:num>
  <w:num w:numId="42">
    <w:abstractNumId w:val="38"/>
  </w:num>
  <w:num w:numId="43">
    <w:abstractNumId w:val="3"/>
  </w:num>
  <w:num w:numId="44">
    <w:abstractNumId w:val="11"/>
  </w:num>
  <w:num w:numId="45">
    <w:abstractNumId w:val="17"/>
  </w:num>
  <w:num w:numId="46">
    <w:abstractNumId w:val="29"/>
  </w:num>
  <w:num w:numId="47">
    <w:abstractNumId w:val="22"/>
  </w:num>
  <w:num w:numId="48">
    <w:abstractNumId w:val="33"/>
  </w:num>
  <w:num w:numId="49">
    <w:abstractNumId w:val="30"/>
  </w:num>
  <w:num w:numId="50">
    <w:abstractNumId w:val="26"/>
  </w:num>
  <w:num w:numId="51">
    <w:abstractNumId w:val="45"/>
  </w:num>
  <w:num w:numId="52">
    <w:abstractNumId w:val="12"/>
  </w:num>
  <w:num w:numId="53">
    <w:abstractNumId w:val="54"/>
  </w:num>
  <w:num w:numId="54">
    <w:abstractNumId w:val="2"/>
  </w:num>
  <w:num w:numId="55">
    <w:abstractNumId w:val="20"/>
  </w:num>
  <w:numIdMacAtCleanup w:val="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8"/>
  <w:hyphenationZone w:val="425"/>
  <w:characterSpacingControl w:val="doNotCompress"/>
  <w:hdrShapeDefaults>
    <o:shapedefaults v:ext="edit" spidmax="22529"/>
  </w:hdrShapeDefaults>
  <w:footnotePr>
    <w:footnote w:id="0"/>
    <w:footnote w:id="1"/>
  </w:footnotePr>
  <w:endnotePr>
    <w:endnote w:id="0"/>
    <w:endnote w:id="1"/>
  </w:endnotePr>
  <w:compat/>
  <w:rsids>
    <w:rsidRoot w:val="00C012F5"/>
    <w:rsid w:val="000229A2"/>
    <w:rsid w:val="000334CC"/>
    <w:rsid w:val="00033F03"/>
    <w:rsid w:val="00045003"/>
    <w:rsid w:val="00073A10"/>
    <w:rsid w:val="00112E4A"/>
    <w:rsid w:val="0013718A"/>
    <w:rsid w:val="00145B35"/>
    <w:rsid w:val="00163FBA"/>
    <w:rsid w:val="00181AEA"/>
    <w:rsid w:val="00194664"/>
    <w:rsid w:val="001B4F24"/>
    <w:rsid w:val="001C58F1"/>
    <w:rsid w:val="00213DC4"/>
    <w:rsid w:val="00231D05"/>
    <w:rsid w:val="00244A1D"/>
    <w:rsid w:val="002635D4"/>
    <w:rsid w:val="0026361C"/>
    <w:rsid w:val="002A1C26"/>
    <w:rsid w:val="002A69E1"/>
    <w:rsid w:val="002B3264"/>
    <w:rsid w:val="003234B5"/>
    <w:rsid w:val="00341D49"/>
    <w:rsid w:val="00346380"/>
    <w:rsid w:val="003501B1"/>
    <w:rsid w:val="00353A52"/>
    <w:rsid w:val="003B4588"/>
    <w:rsid w:val="00400564"/>
    <w:rsid w:val="004A4C8F"/>
    <w:rsid w:val="004E3043"/>
    <w:rsid w:val="004F5745"/>
    <w:rsid w:val="00515420"/>
    <w:rsid w:val="0052429C"/>
    <w:rsid w:val="00560C56"/>
    <w:rsid w:val="00575A56"/>
    <w:rsid w:val="006123F5"/>
    <w:rsid w:val="00613944"/>
    <w:rsid w:val="00647557"/>
    <w:rsid w:val="006638A5"/>
    <w:rsid w:val="006A5F6C"/>
    <w:rsid w:val="006C24D5"/>
    <w:rsid w:val="006C31EB"/>
    <w:rsid w:val="006F3333"/>
    <w:rsid w:val="006F68BE"/>
    <w:rsid w:val="007140D8"/>
    <w:rsid w:val="0071434F"/>
    <w:rsid w:val="007152C6"/>
    <w:rsid w:val="007716D8"/>
    <w:rsid w:val="00775439"/>
    <w:rsid w:val="007813D7"/>
    <w:rsid w:val="007863F0"/>
    <w:rsid w:val="007A3AD0"/>
    <w:rsid w:val="007E54AB"/>
    <w:rsid w:val="00826681"/>
    <w:rsid w:val="00871648"/>
    <w:rsid w:val="008742B3"/>
    <w:rsid w:val="008765DB"/>
    <w:rsid w:val="009136E1"/>
    <w:rsid w:val="00915723"/>
    <w:rsid w:val="00937A9C"/>
    <w:rsid w:val="009751D9"/>
    <w:rsid w:val="009B4510"/>
    <w:rsid w:val="009C0973"/>
    <w:rsid w:val="00A42840"/>
    <w:rsid w:val="00A452EE"/>
    <w:rsid w:val="00A60A57"/>
    <w:rsid w:val="00A6213B"/>
    <w:rsid w:val="00A803D0"/>
    <w:rsid w:val="00A93FFF"/>
    <w:rsid w:val="00AB5CB4"/>
    <w:rsid w:val="00B12A4C"/>
    <w:rsid w:val="00B2069F"/>
    <w:rsid w:val="00B5510E"/>
    <w:rsid w:val="00B71479"/>
    <w:rsid w:val="00BF3B6D"/>
    <w:rsid w:val="00C012F5"/>
    <w:rsid w:val="00C85136"/>
    <w:rsid w:val="00D26424"/>
    <w:rsid w:val="00D62653"/>
    <w:rsid w:val="00D73970"/>
    <w:rsid w:val="00D81D3F"/>
    <w:rsid w:val="00DB0160"/>
    <w:rsid w:val="00E22859"/>
    <w:rsid w:val="00E86628"/>
    <w:rsid w:val="00E871F6"/>
    <w:rsid w:val="00E87DB7"/>
    <w:rsid w:val="00EB5781"/>
    <w:rsid w:val="00EF170F"/>
    <w:rsid w:val="00F20C9F"/>
    <w:rsid w:val="00F37C93"/>
    <w:rsid w:val="00F40E74"/>
    <w:rsid w:val="00F511E8"/>
    <w:rsid w:val="00F70A25"/>
    <w:rsid w:val="00F90117"/>
    <w:rsid w:val="00F96687"/>
    <w:rsid w:val="00FB6639"/>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rules v:ext="edit">
        <o:r id="V:Rule2" type="connector" idref="#AutoShape 1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012F5"/>
    <w:pPr>
      <w:jc w:val="both"/>
    </w:pPr>
    <w:rPr>
      <w:rFonts w:ascii="Georgia" w:hAnsi="Georgia"/>
    </w:rPr>
  </w:style>
  <w:style w:type="paragraph" w:styleId="Nagwek1">
    <w:name w:val="heading 1"/>
    <w:basedOn w:val="Normalny"/>
    <w:next w:val="Nagwek2"/>
    <w:link w:val="Nagwek1Znak"/>
    <w:uiPriority w:val="9"/>
    <w:qFormat/>
    <w:rsid w:val="00575A56"/>
    <w:pPr>
      <w:keepNext/>
      <w:keepLines/>
      <w:numPr>
        <w:numId w:val="1"/>
      </w:numPr>
      <w:pBdr>
        <w:top w:val="single" w:sz="4" w:space="1" w:color="auto"/>
        <w:bottom w:val="single" w:sz="4" w:space="1" w:color="auto"/>
      </w:pBdr>
      <w:spacing w:before="480" w:after="240" w:line="240" w:lineRule="auto"/>
      <w:jc w:val="left"/>
      <w:outlineLvl w:val="0"/>
    </w:pPr>
    <w:rPr>
      <w:rFonts w:eastAsia="MS Gothic" w:cs="Times New Roman"/>
      <w:b/>
      <w:bCs/>
      <w:sz w:val="28"/>
      <w:szCs w:val="36"/>
    </w:rPr>
  </w:style>
  <w:style w:type="paragraph" w:styleId="Nagwek2">
    <w:name w:val="heading 2"/>
    <w:basedOn w:val="Normalny"/>
    <w:next w:val="Normalny"/>
    <w:link w:val="Nagwek2Znak"/>
    <w:uiPriority w:val="9"/>
    <w:unhideWhenUsed/>
    <w:qFormat/>
    <w:rsid w:val="00575A56"/>
    <w:pPr>
      <w:keepNext/>
      <w:numPr>
        <w:ilvl w:val="1"/>
        <w:numId w:val="1"/>
      </w:numPr>
      <w:pBdr>
        <w:top w:val="single" w:sz="6" w:space="1" w:color="7F7F7F" w:themeColor="text1" w:themeTint="80"/>
        <w:bottom w:val="single" w:sz="6" w:space="1" w:color="7F7F7F" w:themeColor="text1" w:themeTint="80"/>
      </w:pBdr>
      <w:spacing w:before="360" w:after="120" w:line="240" w:lineRule="auto"/>
      <w:jc w:val="left"/>
      <w:outlineLvl w:val="1"/>
    </w:pPr>
    <w:rPr>
      <w:rFonts w:eastAsia="MS Gothic" w:cstheme="majorBidi"/>
      <w:b/>
      <w:color w:val="7F7F7F" w:themeColor="text1" w:themeTint="80"/>
      <w:sz w:val="24"/>
    </w:rPr>
  </w:style>
  <w:style w:type="paragraph" w:styleId="Nagwek3">
    <w:name w:val="heading 3"/>
    <w:basedOn w:val="Normalny"/>
    <w:next w:val="Normalny"/>
    <w:link w:val="Nagwek3Znak"/>
    <w:uiPriority w:val="9"/>
    <w:unhideWhenUsed/>
    <w:qFormat/>
    <w:rsid w:val="00575A56"/>
    <w:pPr>
      <w:keepNext/>
      <w:numPr>
        <w:ilvl w:val="2"/>
        <w:numId w:val="1"/>
      </w:numPr>
      <w:spacing w:before="120" w:after="120" w:line="240" w:lineRule="auto"/>
      <w:jc w:val="left"/>
      <w:outlineLvl w:val="2"/>
    </w:pPr>
    <w:rPr>
      <w:rFonts w:eastAsia="MS Gothic" w:cs="Times New Roman"/>
      <w:b/>
      <w:color w:val="7F7F7F" w:themeColor="text1" w:themeTint="80"/>
      <w:u w:val="single"/>
    </w:rPr>
  </w:style>
  <w:style w:type="paragraph" w:styleId="Nagwek4">
    <w:name w:val="heading 4"/>
    <w:basedOn w:val="Normalny"/>
    <w:link w:val="Nagwek4Znak"/>
    <w:uiPriority w:val="9"/>
    <w:qFormat/>
    <w:rsid w:val="00575A56"/>
    <w:pPr>
      <w:numPr>
        <w:ilvl w:val="3"/>
        <w:numId w:val="1"/>
      </w:num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Nagwek5">
    <w:name w:val="heading 5"/>
    <w:basedOn w:val="Normalny"/>
    <w:next w:val="Normalny"/>
    <w:link w:val="Nagwek5Znak"/>
    <w:uiPriority w:val="9"/>
    <w:unhideWhenUsed/>
    <w:qFormat/>
    <w:rsid w:val="00575A56"/>
    <w:pPr>
      <w:keepNext/>
      <w:keepLines/>
      <w:numPr>
        <w:ilvl w:val="4"/>
        <w:numId w:val="1"/>
      </w:numPr>
      <w:spacing w:before="200" w:after="0" w:line="360" w:lineRule="auto"/>
      <w:outlineLvl w:val="4"/>
    </w:pPr>
    <w:rPr>
      <w:rFonts w:ascii="Times New Roman" w:eastAsia="MS Gothic" w:hAnsi="Times New Roman" w:cs="Times New Roman"/>
      <w:color w:val="274A78"/>
    </w:rPr>
  </w:style>
  <w:style w:type="paragraph" w:styleId="Nagwek6">
    <w:name w:val="heading 6"/>
    <w:basedOn w:val="Normalny"/>
    <w:next w:val="Normalny"/>
    <w:link w:val="Nagwek6Znak"/>
    <w:uiPriority w:val="9"/>
    <w:unhideWhenUsed/>
    <w:qFormat/>
    <w:rsid w:val="00575A56"/>
    <w:pPr>
      <w:keepNext/>
      <w:keepLines/>
      <w:numPr>
        <w:ilvl w:val="5"/>
        <w:numId w:val="1"/>
      </w:numPr>
      <w:spacing w:before="200" w:after="0" w:line="360" w:lineRule="auto"/>
      <w:outlineLvl w:val="5"/>
    </w:pPr>
    <w:rPr>
      <w:rFonts w:ascii="Times New Roman" w:eastAsia="MS Gothic" w:hAnsi="Times New Roman" w:cs="Times New Roman"/>
      <w:i/>
      <w:iCs/>
      <w:color w:val="274A78"/>
    </w:rPr>
  </w:style>
  <w:style w:type="paragraph" w:styleId="Nagwek7">
    <w:name w:val="heading 7"/>
    <w:basedOn w:val="Normalny"/>
    <w:next w:val="Normalny"/>
    <w:link w:val="Nagwek7Znak"/>
    <w:uiPriority w:val="9"/>
    <w:unhideWhenUsed/>
    <w:qFormat/>
    <w:rsid w:val="00575A56"/>
    <w:pPr>
      <w:keepNext/>
      <w:keepLines/>
      <w:numPr>
        <w:ilvl w:val="6"/>
        <w:numId w:val="1"/>
      </w:numPr>
      <w:spacing w:before="200" w:after="0" w:line="360" w:lineRule="auto"/>
      <w:outlineLvl w:val="6"/>
    </w:pPr>
    <w:rPr>
      <w:rFonts w:ascii="Times New Roman" w:eastAsia="MS Gothic" w:hAnsi="Times New Roman" w:cs="Times New Roman"/>
      <w:i/>
      <w:iCs/>
      <w:color w:val="404040"/>
    </w:rPr>
  </w:style>
  <w:style w:type="paragraph" w:styleId="Nagwek8">
    <w:name w:val="heading 8"/>
    <w:basedOn w:val="Normalny"/>
    <w:next w:val="Normalny"/>
    <w:link w:val="Nagwek8Znak"/>
    <w:uiPriority w:val="9"/>
    <w:unhideWhenUsed/>
    <w:qFormat/>
    <w:rsid w:val="00575A56"/>
    <w:pPr>
      <w:keepNext/>
      <w:keepLines/>
      <w:numPr>
        <w:ilvl w:val="7"/>
        <w:numId w:val="1"/>
      </w:numPr>
      <w:spacing w:before="200" w:after="0" w:line="360" w:lineRule="auto"/>
      <w:outlineLvl w:val="7"/>
    </w:pPr>
    <w:rPr>
      <w:rFonts w:ascii="Times New Roman" w:eastAsia="MS Gothic" w:hAnsi="Times New Roman" w:cs="Times New Roman"/>
      <w:color w:val="404040"/>
      <w:sz w:val="20"/>
      <w:szCs w:val="20"/>
    </w:rPr>
  </w:style>
  <w:style w:type="paragraph" w:styleId="Nagwek9">
    <w:name w:val="heading 9"/>
    <w:basedOn w:val="Normalny"/>
    <w:next w:val="Normalny"/>
    <w:link w:val="Nagwek9Znak"/>
    <w:uiPriority w:val="9"/>
    <w:unhideWhenUsed/>
    <w:qFormat/>
    <w:rsid w:val="00575A56"/>
    <w:pPr>
      <w:keepNext/>
      <w:keepLines/>
      <w:numPr>
        <w:ilvl w:val="8"/>
        <w:numId w:val="1"/>
      </w:numPr>
      <w:spacing w:before="200" w:after="0" w:line="360" w:lineRule="auto"/>
      <w:outlineLvl w:val="8"/>
    </w:pPr>
    <w:rPr>
      <w:rFonts w:ascii="Times New Roman" w:eastAsia="MS Gothic" w:hAnsi="Times New Roman" w:cs="Times New Roman"/>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next w:val="Podtytu"/>
    <w:link w:val="TytuZnak"/>
    <w:qFormat/>
    <w:rsid w:val="00C012F5"/>
    <w:pPr>
      <w:spacing w:before="480" w:after="1200" w:line="360" w:lineRule="auto"/>
      <w:contextualSpacing/>
      <w:jc w:val="center"/>
      <w:outlineLvl w:val="0"/>
    </w:pPr>
    <w:rPr>
      <w:rFonts w:eastAsiaTheme="majorEastAsia" w:cstheme="majorBidi"/>
      <w:b/>
      <w:smallCaps/>
      <w:sz w:val="96"/>
      <w:szCs w:val="96"/>
    </w:rPr>
  </w:style>
  <w:style w:type="character" w:customStyle="1" w:styleId="TytuZnak">
    <w:name w:val="Tytuł Znak"/>
    <w:basedOn w:val="Domylnaczcionkaakapitu"/>
    <w:link w:val="Tytu"/>
    <w:rsid w:val="00C012F5"/>
    <w:rPr>
      <w:rFonts w:ascii="Georgia" w:eastAsiaTheme="majorEastAsia" w:hAnsi="Georgia" w:cstheme="majorBidi"/>
      <w:b/>
      <w:smallCaps/>
      <w:sz w:val="96"/>
      <w:szCs w:val="96"/>
    </w:rPr>
  </w:style>
  <w:style w:type="paragraph" w:styleId="Podtytu">
    <w:name w:val="Subtitle"/>
    <w:basedOn w:val="Normalny"/>
    <w:next w:val="Normalny"/>
    <w:link w:val="PodtytuZnak"/>
    <w:qFormat/>
    <w:rsid w:val="00C012F5"/>
    <w:pPr>
      <w:spacing w:before="240" w:after="480" w:line="360" w:lineRule="auto"/>
      <w:jc w:val="center"/>
      <w:outlineLvl w:val="1"/>
    </w:pPr>
    <w:rPr>
      <w:rFonts w:eastAsiaTheme="majorEastAsia" w:cstheme="majorBidi"/>
      <w:sz w:val="36"/>
      <w:szCs w:val="36"/>
    </w:rPr>
  </w:style>
  <w:style w:type="character" w:customStyle="1" w:styleId="PodtytuZnak">
    <w:name w:val="Podtytuł Znak"/>
    <w:basedOn w:val="Domylnaczcionkaakapitu"/>
    <w:link w:val="Podtytu"/>
    <w:rsid w:val="00C012F5"/>
    <w:rPr>
      <w:rFonts w:ascii="Georgia" w:eastAsiaTheme="majorEastAsia" w:hAnsi="Georgia" w:cstheme="majorBidi"/>
      <w:sz w:val="36"/>
      <w:szCs w:val="36"/>
    </w:rPr>
  </w:style>
  <w:style w:type="character" w:customStyle="1" w:styleId="Tytuksiki1">
    <w:name w:val="Tytuł książki1"/>
    <w:basedOn w:val="Domylnaczcionkaakapitu"/>
    <w:rsid w:val="00C012F5"/>
    <w:rPr>
      <w:b/>
      <w:bCs/>
      <w:smallCaps/>
      <w:spacing w:val="5"/>
    </w:rPr>
  </w:style>
  <w:style w:type="paragraph" w:styleId="Tekstdymka">
    <w:name w:val="Balloon Text"/>
    <w:basedOn w:val="Normalny"/>
    <w:link w:val="TekstdymkaZnak"/>
    <w:uiPriority w:val="99"/>
    <w:semiHidden/>
    <w:unhideWhenUsed/>
    <w:rsid w:val="00C012F5"/>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012F5"/>
    <w:rPr>
      <w:rFonts w:ascii="Tahoma" w:hAnsi="Tahoma" w:cs="Tahoma"/>
      <w:sz w:val="16"/>
      <w:szCs w:val="16"/>
    </w:rPr>
  </w:style>
  <w:style w:type="paragraph" w:styleId="Nagwek">
    <w:name w:val="header"/>
    <w:basedOn w:val="Normalny"/>
    <w:link w:val="NagwekZnak"/>
    <w:uiPriority w:val="99"/>
    <w:unhideWhenUsed/>
    <w:rsid w:val="00C012F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012F5"/>
    <w:rPr>
      <w:rFonts w:ascii="Georgia" w:hAnsi="Georgia"/>
    </w:rPr>
  </w:style>
  <w:style w:type="paragraph" w:styleId="Stopka">
    <w:name w:val="footer"/>
    <w:basedOn w:val="Normalny"/>
    <w:link w:val="StopkaZnak"/>
    <w:uiPriority w:val="99"/>
    <w:unhideWhenUsed/>
    <w:rsid w:val="00C012F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012F5"/>
    <w:rPr>
      <w:rFonts w:ascii="Georgia" w:hAnsi="Georgia"/>
    </w:rPr>
  </w:style>
  <w:style w:type="table" w:customStyle="1" w:styleId="Jasnecieniowanieakcent41">
    <w:name w:val="Jasne cieniowanie — akcent 41"/>
    <w:basedOn w:val="Standardowy"/>
    <w:next w:val="Jasnecieniowanieakcent4"/>
    <w:uiPriority w:val="60"/>
    <w:rsid w:val="00575A56"/>
    <w:pPr>
      <w:spacing w:after="0" w:line="240" w:lineRule="auto"/>
    </w:pPr>
    <w:rPr>
      <w:rFonts w:ascii="Calibri" w:eastAsia="Times New Roman" w:hAnsi="Calibri" w:cs="Times New Roman"/>
      <w:color w:val="5F497A"/>
      <w:sz w:val="20"/>
      <w:szCs w:val="20"/>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Jasnecieniowanieakcent4">
    <w:name w:val="Light Shading Accent 4"/>
    <w:basedOn w:val="Standardowy"/>
    <w:uiPriority w:val="60"/>
    <w:rsid w:val="00575A56"/>
    <w:pPr>
      <w:spacing w:after="0" w:line="240" w:lineRule="auto"/>
    </w:pPr>
    <w:rPr>
      <w:color w:val="BF8F00" w:themeColor="accent4" w:themeShade="BF"/>
    </w:rPr>
    <w:tblPr>
      <w:tblStyleRowBandSize w:val="1"/>
      <w:tblStyleColBandSize w:val="1"/>
      <w:tblInd w:w="0" w:type="dxa"/>
      <w:tblBorders>
        <w:top w:val="single" w:sz="8" w:space="0" w:color="FFC000" w:themeColor="accent4"/>
        <w:bottom w:val="single" w:sz="8" w:space="0" w:color="FFC000"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Jasnalistaakcent6">
    <w:name w:val="Light List Accent 6"/>
    <w:basedOn w:val="Standardowy"/>
    <w:uiPriority w:val="61"/>
    <w:rsid w:val="00575A56"/>
    <w:pPr>
      <w:spacing w:after="0" w:line="240" w:lineRule="auto"/>
    </w:pPr>
    <w:tblPr>
      <w:tblStyleRowBandSize w:val="1"/>
      <w:tblStyleColBandSize w:val="1"/>
      <w:tblInd w:w="0" w:type="dxa"/>
      <w:tblBorders>
        <w:top w:val="single" w:sz="8" w:space="0" w:color="70AD47" w:themeColor="accent6"/>
        <w:left w:val="single" w:sz="8" w:space="0" w:color="70AD47" w:themeColor="accent6"/>
        <w:bottom w:val="single" w:sz="8" w:space="0" w:color="70AD47" w:themeColor="accent6"/>
        <w:right w:val="single" w:sz="8" w:space="0" w:color="70AD47"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character" w:customStyle="1" w:styleId="Nagwek1Znak">
    <w:name w:val="Nagłówek 1 Znak"/>
    <w:basedOn w:val="Domylnaczcionkaakapitu"/>
    <w:link w:val="Nagwek1"/>
    <w:uiPriority w:val="9"/>
    <w:rsid w:val="00575A56"/>
    <w:rPr>
      <w:rFonts w:ascii="Georgia" w:eastAsia="MS Gothic" w:hAnsi="Georgia" w:cs="Times New Roman"/>
      <w:b/>
      <w:bCs/>
      <w:sz w:val="28"/>
      <w:szCs w:val="36"/>
    </w:rPr>
  </w:style>
  <w:style w:type="character" w:customStyle="1" w:styleId="Nagwek2Znak">
    <w:name w:val="Nagłówek 2 Znak"/>
    <w:basedOn w:val="Domylnaczcionkaakapitu"/>
    <w:link w:val="Nagwek2"/>
    <w:uiPriority w:val="9"/>
    <w:rsid w:val="00575A56"/>
    <w:rPr>
      <w:rFonts w:ascii="Georgia" w:eastAsia="MS Gothic" w:hAnsi="Georgia" w:cstheme="majorBidi"/>
      <w:b/>
      <w:color w:val="7F7F7F" w:themeColor="text1" w:themeTint="80"/>
      <w:sz w:val="24"/>
    </w:rPr>
  </w:style>
  <w:style w:type="character" w:customStyle="1" w:styleId="Nagwek3Znak">
    <w:name w:val="Nagłówek 3 Znak"/>
    <w:basedOn w:val="Domylnaczcionkaakapitu"/>
    <w:link w:val="Nagwek3"/>
    <w:uiPriority w:val="9"/>
    <w:rsid w:val="00575A56"/>
    <w:rPr>
      <w:rFonts w:ascii="Georgia" w:eastAsia="MS Gothic" w:hAnsi="Georgia" w:cs="Times New Roman"/>
      <w:b/>
      <w:color w:val="7F7F7F" w:themeColor="text1" w:themeTint="80"/>
      <w:u w:val="single"/>
    </w:rPr>
  </w:style>
  <w:style w:type="character" w:customStyle="1" w:styleId="Nagwek4Znak">
    <w:name w:val="Nagłówek 4 Znak"/>
    <w:basedOn w:val="Domylnaczcionkaakapitu"/>
    <w:link w:val="Nagwek4"/>
    <w:uiPriority w:val="9"/>
    <w:rsid w:val="00575A56"/>
    <w:rPr>
      <w:rFonts w:ascii="Times New Roman" w:eastAsia="Times New Roman" w:hAnsi="Times New Roman" w:cs="Times New Roman"/>
      <w:b/>
      <w:bCs/>
      <w:sz w:val="24"/>
      <w:szCs w:val="24"/>
    </w:rPr>
  </w:style>
  <w:style w:type="character" w:customStyle="1" w:styleId="Nagwek5Znak">
    <w:name w:val="Nagłówek 5 Znak"/>
    <w:basedOn w:val="Domylnaczcionkaakapitu"/>
    <w:link w:val="Nagwek5"/>
    <w:uiPriority w:val="9"/>
    <w:rsid w:val="00575A56"/>
    <w:rPr>
      <w:rFonts w:ascii="Times New Roman" w:eastAsia="MS Gothic" w:hAnsi="Times New Roman" w:cs="Times New Roman"/>
      <w:color w:val="274A78"/>
    </w:rPr>
  </w:style>
  <w:style w:type="character" w:customStyle="1" w:styleId="Nagwek6Znak">
    <w:name w:val="Nagłówek 6 Znak"/>
    <w:basedOn w:val="Domylnaczcionkaakapitu"/>
    <w:link w:val="Nagwek6"/>
    <w:uiPriority w:val="9"/>
    <w:rsid w:val="00575A56"/>
    <w:rPr>
      <w:rFonts w:ascii="Times New Roman" w:eastAsia="MS Gothic" w:hAnsi="Times New Roman" w:cs="Times New Roman"/>
      <w:i/>
      <w:iCs/>
      <w:color w:val="274A78"/>
    </w:rPr>
  </w:style>
  <w:style w:type="character" w:customStyle="1" w:styleId="Nagwek7Znak">
    <w:name w:val="Nagłówek 7 Znak"/>
    <w:basedOn w:val="Domylnaczcionkaakapitu"/>
    <w:link w:val="Nagwek7"/>
    <w:uiPriority w:val="9"/>
    <w:rsid w:val="00575A56"/>
    <w:rPr>
      <w:rFonts w:ascii="Times New Roman" w:eastAsia="MS Gothic" w:hAnsi="Times New Roman" w:cs="Times New Roman"/>
      <w:i/>
      <w:iCs/>
      <w:color w:val="404040"/>
    </w:rPr>
  </w:style>
  <w:style w:type="character" w:customStyle="1" w:styleId="Nagwek8Znak">
    <w:name w:val="Nagłówek 8 Znak"/>
    <w:basedOn w:val="Domylnaczcionkaakapitu"/>
    <w:link w:val="Nagwek8"/>
    <w:uiPriority w:val="9"/>
    <w:rsid w:val="00575A56"/>
    <w:rPr>
      <w:rFonts w:ascii="Times New Roman" w:eastAsia="MS Gothic" w:hAnsi="Times New Roman" w:cs="Times New Roman"/>
      <w:color w:val="404040"/>
      <w:sz w:val="20"/>
      <w:szCs w:val="20"/>
    </w:rPr>
  </w:style>
  <w:style w:type="character" w:customStyle="1" w:styleId="Nagwek9Znak">
    <w:name w:val="Nagłówek 9 Znak"/>
    <w:basedOn w:val="Domylnaczcionkaakapitu"/>
    <w:link w:val="Nagwek9"/>
    <w:uiPriority w:val="9"/>
    <w:rsid w:val="00575A56"/>
    <w:rPr>
      <w:rFonts w:ascii="Times New Roman" w:eastAsia="MS Gothic" w:hAnsi="Times New Roman" w:cs="Times New Roman"/>
      <w:i/>
      <w:iCs/>
      <w:color w:val="404040"/>
      <w:sz w:val="20"/>
      <w:szCs w:val="20"/>
    </w:rPr>
  </w:style>
  <w:style w:type="paragraph" w:styleId="Tekstprzypisudolnego">
    <w:name w:val="footnote text"/>
    <w:basedOn w:val="Normalny"/>
    <w:link w:val="TekstprzypisudolnegoZnak"/>
    <w:uiPriority w:val="99"/>
    <w:semiHidden/>
    <w:unhideWhenUsed/>
    <w:rsid w:val="00575A56"/>
    <w:pPr>
      <w:spacing w:after="0" w:line="240" w:lineRule="auto"/>
    </w:pPr>
    <w:rPr>
      <w:rFonts w:ascii="Calibri" w:eastAsia="Times New Roman" w:hAnsi="Calibri" w:cs="Times New Roman"/>
      <w:sz w:val="20"/>
      <w:szCs w:val="20"/>
    </w:rPr>
  </w:style>
  <w:style w:type="character" w:customStyle="1" w:styleId="TekstprzypisudolnegoZnak">
    <w:name w:val="Tekst przypisu dolnego Znak"/>
    <w:basedOn w:val="Domylnaczcionkaakapitu"/>
    <w:link w:val="Tekstprzypisudolnego"/>
    <w:uiPriority w:val="99"/>
    <w:semiHidden/>
    <w:rsid w:val="00575A56"/>
    <w:rPr>
      <w:rFonts w:ascii="Calibri" w:eastAsia="Times New Roman" w:hAnsi="Calibri" w:cs="Times New Roman"/>
      <w:sz w:val="20"/>
      <w:szCs w:val="20"/>
    </w:rPr>
  </w:style>
  <w:style w:type="character" w:styleId="Odwoanieprzypisudolnego">
    <w:name w:val="footnote reference"/>
    <w:basedOn w:val="Domylnaczcionkaakapitu"/>
    <w:uiPriority w:val="99"/>
    <w:semiHidden/>
    <w:unhideWhenUsed/>
    <w:rsid w:val="00575A56"/>
    <w:rPr>
      <w:vertAlign w:val="superscript"/>
    </w:rPr>
  </w:style>
  <w:style w:type="paragraph" w:styleId="Akapitzlist">
    <w:name w:val="List Paragraph"/>
    <w:basedOn w:val="Normalny"/>
    <w:link w:val="AkapitzlistZnak"/>
    <w:uiPriority w:val="34"/>
    <w:qFormat/>
    <w:rsid w:val="00400564"/>
    <w:pPr>
      <w:spacing w:before="120" w:after="120" w:line="360" w:lineRule="auto"/>
      <w:ind w:left="720"/>
      <w:contextualSpacing/>
    </w:pPr>
    <w:rPr>
      <w:rFonts w:ascii="Calibri" w:eastAsia="Times New Roman" w:hAnsi="Calibri" w:cs="Times New Roman"/>
    </w:rPr>
  </w:style>
  <w:style w:type="character" w:customStyle="1" w:styleId="AkapitzlistZnak">
    <w:name w:val="Akapit z listą Znak"/>
    <w:link w:val="Akapitzlist"/>
    <w:uiPriority w:val="34"/>
    <w:rsid w:val="00400564"/>
    <w:rPr>
      <w:rFonts w:ascii="Calibri" w:eastAsia="Times New Roman" w:hAnsi="Calibri" w:cs="Times New Roman"/>
    </w:rPr>
  </w:style>
  <w:style w:type="paragraph" w:customStyle="1" w:styleId="punkty">
    <w:name w:val="punkty"/>
    <w:basedOn w:val="Akapitzlist"/>
    <w:qFormat/>
    <w:rsid w:val="00400564"/>
    <w:pPr>
      <w:numPr>
        <w:numId w:val="6"/>
      </w:numPr>
      <w:contextualSpacing w:val="0"/>
      <w:outlineLvl w:val="4"/>
    </w:pPr>
    <w:rPr>
      <w:rFonts w:ascii="Cambria" w:hAnsi="Cambria"/>
    </w:rPr>
  </w:style>
  <w:style w:type="paragraph" w:styleId="Legenda">
    <w:name w:val="caption"/>
    <w:basedOn w:val="Normalny"/>
    <w:next w:val="Normalny"/>
    <w:uiPriority w:val="35"/>
    <w:unhideWhenUsed/>
    <w:qFormat/>
    <w:rsid w:val="00A60A57"/>
    <w:pPr>
      <w:spacing w:before="120" w:after="120" w:line="240" w:lineRule="auto"/>
    </w:pPr>
    <w:rPr>
      <w:rFonts w:eastAsia="Times New Roman" w:cs="Times New Roman"/>
      <w:b/>
      <w:bCs/>
      <w:color w:val="5B9BD5" w:themeColor="accent1"/>
      <w:sz w:val="18"/>
      <w:szCs w:val="18"/>
    </w:rPr>
  </w:style>
  <w:style w:type="table" w:customStyle="1" w:styleId="Tabelalisty3akcent12">
    <w:name w:val="Tabela listy 3 — akcent 12"/>
    <w:basedOn w:val="Standardowy"/>
    <w:uiPriority w:val="48"/>
    <w:rsid w:val="00A60A57"/>
    <w:pPr>
      <w:spacing w:after="0" w:line="240" w:lineRule="auto"/>
    </w:pPr>
    <w:rPr>
      <w:rFonts w:ascii="Calibri" w:eastAsia="Times New Roman" w:hAnsi="Calibri" w:cs="Times New Roman"/>
      <w:sz w:val="20"/>
      <w:szCs w:val="20"/>
      <w:lang w:eastAsia="pl-PL"/>
    </w:rPr>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elalisty3akcent11">
    <w:name w:val="Tabela listy 3 — akcent 11"/>
    <w:basedOn w:val="Standardowy"/>
    <w:uiPriority w:val="48"/>
    <w:rsid w:val="00F511E8"/>
    <w:pPr>
      <w:spacing w:after="0" w:line="240" w:lineRule="auto"/>
    </w:pPr>
    <w:rPr>
      <w:rFonts w:ascii="Calibri" w:eastAsia="Times New Roman" w:hAnsi="Calibri" w:cs="Times New Roman"/>
      <w:sz w:val="20"/>
      <w:szCs w:val="20"/>
      <w:lang w:eastAsia="pl-PL"/>
    </w:rPr>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character" w:styleId="Hipercze">
    <w:name w:val="Hyperlink"/>
    <w:basedOn w:val="Domylnaczcionkaakapitu"/>
    <w:uiPriority w:val="99"/>
    <w:unhideWhenUsed/>
    <w:rsid w:val="00AB5CB4"/>
    <w:rPr>
      <w:color w:val="0563C1" w:themeColor="hyperlink"/>
      <w:u w:val="single"/>
    </w:rPr>
  </w:style>
  <w:style w:type="character" w:styleId="Pogrubienie">
    <w:name w:val="Strong"/>
    <w:uiPriority w:val="22"/>
    <w:qFormat/>
    <w:rsid w:val="00194664"/>
    <w:rPr>
      <w:b/>
      <w:bCs/>
    </w:rPr>
  </w:style>
  <w:style w:type="character" w:customStyle="1" w:styleId="apple-converted-space">
    <w:name w:val="apple-converted-space"/>
    <w:basedOn w:val="Domylnaczcionkaakapitu"/>
    <w:rsid w:val="00194664"/>
  </w:style>
  <w:style w:type="table" w:customStyle="1" w:styleId="Jasnecieniowanieakcent42">
    <w:name w:val="Jasne cieniowanie — akcent 42"/>
    <w:basedOn w:val="Standardowy"/>
    <w:next w:val="Jasnecieniowanieakcent4"/>
    <w:uiPriority w:val="60"/>
    <w:rsid w:val="006C24D5"/>
    <w:pPr>
      <w:spacing w:after="0" w:line="240" w:lineRule="auto"/>
    </w:pPr>
    <w:rPr>
      <w:rFonts w:ascii="Calibri" w:eastAsia="Times New Roman" w:hAnsi="Calibri" w:cs="Times New Roman"/>
      <w:color w:val="BF8F00" w:themeColor="accent4" w:themeShade="BF"/>
      <w:sz w:val="20"/>
      <w:szCs w:val="20"/>
    </w:rPr>
    <w:tblPr>
      <w:tblStyleRowBandSize w:val="1"/>
      <w:tblStyleColBandSize w:val="1"/>
      <w:tblInd w:w="0" w:type="dxa"/>
      <w:tblBorders>
        <w:top w:val="single" w:sz="8" w:space="0" w:color="FFC000" w:themeColor="accent4"/>
        <w:bottom w:val="single" w:sz="8" w:space="0" w:color="FFC000"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Tabela-Siatka">
    <w:name w:val="Table Grid"/>
    <w:basedOn w:val="Standardowy"/>
    <w:uiPriority w:val="39"/>
    <w:rsid w:val="00E871F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Jasnecieniowanieakcent11">
    <w:name w:val="Jasne cieniowanie — akcent 11"/>
    <w:basedOn w:val="Standardowy"/>
    <w:uiPriority w:val="60"/>
    <w:rsid w:val="00A6213B"/>
    <w:pPr>
      <w:spacing w:after="0" w:line="240" w:lineRule="auto"/>
    </w:pPr>
    <w:rPr>
      <w:rFonts w:ascii="Calibri" w:eastAsia="Times New Roman" w:hAnsi="Calibri" w:cs="Times New Roman"/>
      <w:color w:val="2E74B5" w:themeColor="accent1" w:themeShade="BF"/>
      <w:sz w:val="20"/>
      <w:szCs w:val="20"/>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redniecieniowanie1akcent6">
    <w:name w:val="Medium Shading 1 Accent 6"/>
    <w:basedOn w:val="Standardowy"/>
    <w:uiPriority w:val="63"/>
    <w:rsid w:val="00DB0160"/>
    <w:pPr>
      <w:spacing w:after="0" w:line="240" w:lineRule="auto"/>
    </w:p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paragraph" w:styleId="NormalnyWeb">
    <w:name w:val="Normal (Web)"/>
    <w:basedOn w:val="Normalny"/>
    <w:uiPriority w:val="99"/>
    <w:unhideWhenUsed/>
    <w:rsid w:val="003501B1"/>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styleId="Nagwekspisutreci">
    <w:name w:val="TOC Heading"/>
    <w:basedOn w:val="Nagwek1"/>
    <w:next w:val="Normalny"/>
    <w:uiPriority w:val="39"/>
    <w:unhideWhenUsed/>
    <w:qFormat/>
    <w:rsid w:val="00163FBA"/>
    <w:pPr>
      <w:numPr>
        <w:numId w:val="0"/>
      </w:numPr>
      <w:pBdr>
        <w:top w:val="none" w:sz="0" w:space="0" w:color="auto"/>
        <w:bottom w:val="none" w:sz="0" w:space="0" w:color="auto"/>
      </w:pBdr>
      <w:spacing w:after="0" w:line="276" w:lineRule="auto"/>
      <w:outlineLvl w:val="9"/>
    </w:pPr>
    <w:rPr>
      <w:rFonts w:asciiTheme="majorHAnsi" w:eastAsiaTheme="majorEastAsia" w:hAnsiTheme="majorHAnsi" w:cstheme="majorBidi"/>
      <w:color w:val="2E74B5" w:themeColor="accent1" w:themeShade="BF"/>
      <w:szCs w:val="28"/>
    </w:rPr>
  </w:style>
  <w:style w:type="paragraph" w:styleId="Spistreci1">
    <w:name w:val="toc 1"/>
    <w:basedOn w:val="Normalny"/>
    <w:next w:val="Normalny"/>
    <w:autoRedefine/>
    <w:uiPriority w:val="39"/>
    <w:unhideWhenUsed/>
    <w:qFormat/>
    <w:rsid w:val="006C31EB"/>
    <w:pPr>
      <w:tabs>
        <w:tab w:val="left" w:pos="660"/>
        <w:tab w:val="right" w:leader="dot" w:pos="8777"/>
      </w:tabs>
      <w:spacing w:before="360" w:after="0"/>
      <w:ind w:left="567" w:hanging="567"/>
      <w:jc w:val="left"/>
    </w:pPr>
    <w:rPr>
      <w:rFonts w:asciiTheme="majorHAnsi" w:hAnsiTheme="majorHAnsi"/>
      <w:b/>
      <w:bCs/>
      <w:caps/>
      <w:sz w:val="24"/>
      <w:szCs w:val="24"/>
    </w:rPr>
  </w:style>
  <w:style w:type="paragraph" w:styleId="Spistreci2">
    <w:name w:val="toc 2"/>
    <w:basedOn w:val="Normalny"/>
    <w:next w:val="Normalny"/>
    <w:autoRedefine/>
    <w:uiPriority w:val="39"/>
    <w:unhideWhenUsed/>
    <w:qFormat/>
    <w:rsid w:val="006C31EB"/>
    <w:pPr>
      <w:tabs>
        <w:tab w:val="left" w:pos="660"/>
        <w:tab w:val="right" w:leader="dot" w:pos="8777"/>
      </w:tabs>
      <w:spacing w:before="240" w:after="0"/>
      <w:ind w:left="624" w:hanging="624"/>
      <w:jc w:val="left"/>
    </w:pPr>
    <w:rPr>
      <w:b/>
      <w:bCs/>
      <w:noProof/>
      <w:sz w:val="20"/>
      <w:szCs w:val="20"/>
    </w:rPr>
  </w:style>
  <w:style w:type="paragraph" w:styleId="Spistreci3">
    <w:name w:val="toc 3"/>
    <w:basedOn w:val="Normalny"/>
    <w:next w:val="Normalny"/>
    <w:autoRedefine/>
    <w:uiPriority w:val="39"/>
    <w:unhideWhenUsed/>
    <w:qFormat/>
    <w:rsid w:val="006C31EB"/>
    <w:pPr>
      <w:tabs>
        <w:tab w:val="left" w:pos="880"/>
        <w:tab w:val="right" w:leader="dot" w:pos="8777"/>
      </w:tabs>
      <w:spacing w:after="0"/>
      <w:ind w:left="624" w:hanging="624"/>
      <w:jc w:val="left"/>
    </w:pPr>
    <w:rPr>
      <w:rFonts w:asciiTheme="minorHAnsi" w:hAnsiTheme="minorHAnsi"/>
      <w:sz w:val="20"/>
      <w:szCs w:val="20"/>
    </w:rPr>
  </w:style>
  <w:style w:type="paragraph" w:styleId="Spistreci4">
    <w:name w:val="toc 4"/>
    <w:basedOn w:val="Normalny"/>
    <w:next w:val="Normalny"/>
    <w:autoRedefine/>
    <w:uiPriority w:val="39"/>
    <w:unhideWhenUsed/>
    <w:rsid w:val="00163FBA"/>
    <w:pPr>
      <w:spacing w:after="0"/>
      <w:ind w:left="440"/>
      <w:jc w:val="left"/>
    </w:pPr>
    <w:rPr>
      <w:rFonts w:asciiTheme="minorHAnsi" w:hAnsiTheme="minorHAnsi"/>
      <w:sz w:val="20"/>
      <w:szCs w:val="20"/>
    </w:rPr>
  </w:style>
  <w:style w:type="paragraph" w:styleId="Spistreci5">
    <w:name w:val="toc 5"/>
    <w:basedOn w:val="Normalny"/>
    <w:next w:val="Normalny"/>
    <w:autoRedefine/>
    <w:uiPriority w:val="39"/>
    <w:unhideWhenUsed/>
    <w:rsid w:val="00163FBA"/>
    <w:pPr>
      <w:spacing w:after="0"/>
      <w:ind w:left="660"/>
      <w:jc w:val="left"/>
    </w:pPr>
    <w:rPr>
      <w:rFonts w:asciiTheme="minorHAnsi" w:hAnsiTheme="minorHAnsi"/>
      <w:sz w:val="20"/>
      <w:szCs w:val="20"/>
    </w:rPr>
  </w:style>
  <w:style w:type="paragraph" w:styleId="Spistreci6">
    <w:name w:val="toc 6"/>
    <w:basedOn w:val="Normalny"/>
    <w:next w:val="Normalny"/>
    <w:autoRedefine/>
    <w:uiPriority w:val="39"/>
    <w:unhideWhenUsed/>
    <w:rsid w:val="00163FBA"/>
    <w:pPr>
      <w:spacing w:after="0"/>
      <w:ind w:left="880"/>
      <w:jc w:val="left"/>
    </w:pPr>
    <w:rPr>
      <w:rFonts w:asciiTheme="minorHAnsi" w:hAnsiTheme="minorHAnsi"/>
      <w:sz w:val="20"/>
      <w:szCs w:val="20"/>
    </w:rPr>
  </w:style>
  <w:style w:type="paragraph" w:styleId="Spistreci7">
    <w:name w:val="toc 7"/>
    <w:basedOn w:val="Normalny"/>
    <w:next w:val="Normalny"/>
    <w:autoRedefine/>
    <w:uiPriority w:val="39"/>
    <w:unhideWhenUsed/>
    <w:rsid w:val="00163FBA"/>
    <w:pPr>
      <w:spacing w:after="0"/>
      <w:ind w:left="1100"/>
      <w:jc w:val="left"/>
    </w:pPr>
    <w:rPr>
      <w:rFonts w:asciiTheme="minorHAnsi" w:hAnsiTheme="minorHAnsi"/>
      <w:sz w:val="20"/>
      <w:szCs w:val="20"/>
    </w:rPr>
  </w:style>
  <w:style w:type="paragraph" w:styleId="Spistreci8">
    <w:name w:val="toc 8"/>
    <w:basedOn w:val="Normalny"/>
    <w:next w:val="Normalny"/>
    <w:autoRedefine/>
    <w:uiPriority w:val="39"/>
    <w:unhideWhenUsed/>
    <w:rsid w:val="00163FBA"/>
    <w:pPr>
      <w:spacing w:after="0"/>
      <w:ind w:left="1320"/>
      <w:jc w:val="left"/>
    </w:pPr>
    <w:rPr>
      <w:rFonts w:asciiTheme="minorHAnsi" w:hAnsiTheme="minorHAnsi"/>
      <w:sz w:val="20"/>
      <w:szCs w:val="20"/>
    </w:rPr>
  </w:style>
  <w:style w:type="paragraph" w:styleId="Spistreci9">
    <w:name w:val="toc 9"/>
    <w:basedOn w:val="Normalny"/>
    <w:next w:val="Normalny"/>
    <w:autoRedefine/>
    <w:uiPriority w:val="39"/>
    <w:unhideWhenUsed/>
    <w:rsid w:val="00163FBA"/>
    <w:pPr>
      <w:spacing w:after="0"/>
      <w:ind w:left="1540"/>
      <w:jc w:val="left"/>
    </w:pPr>
    <w:rPr>
      <w:rFonts w:asciiTheme="minorHAnsi" w:hAnsiTheme="minorHAnsi"/>
      <w:sz w:val="20"/>
      <w:szCs w:val="20"/>
    </w:rPr>
  </w:style>
  <w:style w:type="paragraph" w:styleId="Spisilustracji">
    <w:name w:val="table of figures"/>
    <w:basedOn w:val="Normalny"/>
    <w:next w:val="Normalny"/>
    <w:uiPriority w:val="99"/>
    <w:unhideWhenUsed/>
    <w:rsid w:val="0052429C"/>
    <w:pPr>
      <w:spacing w:after="0"/>
    </w:pPr>
  </w:style>
  <w:style w:type="table" w:styleId="Jasnalistaakcent5">
    <w:name w:val="Light List Accent 5"/>
    <w:basedOn w:val="Standardowy"/>
    <w:uiPriority w:val="61"/>
    <w:rsid w:val="00353A52"/>
    <w:pPr>
      <w:spacing w:after="0" w:line="240" w:lineRule="auto"/>
    </w:pPr>
    <w:tblPr>
      <w:tblStyleRowBandSize w:val="1"/>
      <w:tblStyleColBandSize w:val="1"/>
      <w:tblInd w:w="0" w:type="dxa"/>
      <w:tblBorders>
        <w:top w:val="single" w:sz="8" w:space="0" w:color="4472C4" w:themeColor="accent5"/>
        <w:left w:val="single" w:sz="8" w:space="0" w:color="4472C4" w:themeColor="accent5"/>
        <w:bottom w:val="single" w:sz="8" w:space="0" w:color="4472C4" w:themeColor="accent5"/>
        <w:right w:val="single" w:sz="8" w:space="0" w:color="4472C4"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00416309">
      <w:bodyDiv w:val="1"/>
      <w:marLeft w:val="0"/>
      <w:marRight w:val="0"/>
      <w:marTop w:val="0"/>
      <w:marBottom w:val="0"/>
      <w:divBdr>
        <w:top w:val="none" w:sz="0" w:space="0" w:color="auto"/>
        <w:left w:val="none" w:sz="0" w:space="0" w:color="auto"/>
        <w:bottom w:val="none" w:sz="0" w:space="0" w:color="auto"/>
        <w:right w:val="none" w:sz="0" w:space="0" w:color="auto"/>
      </w:divBdr>
    </w:div>
    <w:div w:id="980647881">
      <w:bodyDiv w:val="1"/>
      <w:marLeft w:val="0"/>
      <w:marRight w:val="0"/>
      <w:marTop w:val="0"/>
      <w:marBottom w:val="0"/>
      <w:divBdr>
        <w:top w:val="none" w:sz="0" w:space="0" w:color="auto"/>
        <w:left w:val="none" w:sz="0" w:space="0" w:color="auto"/>
        <w:bottom w:val="none" w:sz="0" w:space="0" w:color="auto"/>
        <w:right w:val="none" w:sz="0" w:space="0" w:color="auto"/>
      </w:divBdr>
    </w:div>
    <w:div w:id="1971666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chart" Target="charts/chart2.xml"/><Relationship Id="rId26" Type="http://schemas.openxmlformats.org/officeDocument/2006/relationships/chart" Target="charts/chart10.xml"/><Relationship Id="rId39"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chart" Target="charts/chart5.xml"/><Relationship Id="rId34" Type="http://schemas.openxmlformats.org/officeDocument/2006/relationships/chart" Target="charts/chart15.xml"/><Relationship Id="rId42" Type="http://schemas.openxmlformats.org/officeDocument/2006/relationships/image" Target="media/image17.jpeg"/><Relationship Id="rId47" Type="http://schemas.openxmlformats.org/officeDocument/2006/relationships/footer" Target="footer1.xml"/><Relationship Id="rId50"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1.xml"/><Relationship Id="rId25" Type="http://schemas.openxmlformats.org/officeDocument/2006/relationships/chart" Target="charts/chart9.xml"/><Relationship Id="rId33" Type="http://schemas.openxmlformats.org/officeDocument/2006/relationships/image" Target="media/image10.png"/><Relationship Id="rId38" Type="http://schemas.openxmlformats.org/officeDocument/2006/relationships/image" Target="media/image13.png"/><Relationship Id="rId46"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chart" Target="charts/chart4.xml"/><Relationship Id="rId29" Type="http://schemas.openxmlformats.org/officeDocument/2006/relationships/chart" Target="charts/chart13.xml"/><Relationship Id="rId41"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Dorota\Desktop\Projekt%20%20za&#322;o&#380;e&#324;%20do%20planu%20zaopatrzenia%20w%20ciep&#322;o.docx" TargetMode="External"/><Relationship Id="rId24" Type="http://schemas.openxmlformats.org/officeDocument/2006/relationships/chart" Target="charts/chart8.xml"/><Relationship Id="rId32" Type="http://schemas.openxmlformats.org/officeDocument/2006/relationships/image" Target="media/image9.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chart" Target="charts/chart7.xml"/><Relationship Id="rId28" Type="http://schemas.openxmlformats.org/officeDocument/2006/relationships/chart" Target="charts/chart12.xml"/><Relationship Id="rId36" Type="http://schemas.openxmlformats.org/officeDocument/2006/relationships/image" Target="media/image11.png"/><Relationship Id="rId49" Type="http://schemas.openxmlformats.org/officeDocument/2006/relationships/theme" Target="theme/theme1.xml"/><Relationship Id="rId10" Type="http://schemas.openxmlformats.org/officeDocument/2006/relationships/hyperlink" Target="file:///C:\Users\Dorota\Desktop\Projekt%20%20za&#322;o&#380;e&#324;%20do%20planu%20zaopatrzenia%20w%20ciep&#322;o.docx" TargetMode="External"/><Relationship Id="rId19" Type="http://schemas.openxmlformats.org/officeDocument/2006/relationships/chart" Target="charts/chart3.xml"/><Relationship Id="rId31" Type="http://schemas.openxmlformats.org/officeDocument/2006/relationships/image" Target="media/image8.gif"/><Relationship Id="rId44"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chart" Target="charts/chart6.xml"/><Relationship Id="rId27" Type="http://schemas.openxmlformats.org/officeDocument/2006/relationships/chart" Target="charts/chart11.xml"/><Relationship Id="rId30" Type="http://schemas.openxmlformats.org/officeDocument/2006/relationships/chart" Target="charts/chart14.xml"/><Relationship Id="rId35" Type="http://schemas.openxmlformats.org/officeDocument/2006/relationships/chart" Target="charts/chart16.xml"/><Relationship Id="rId43" Type="http://schemas.openxmlformats.org/officeDocument/2006/relationships/image" Target="media/image18.png"/><Relationship Id="rId48" Type="http://schemas.openxmlformats.org/officeDocument/2006/relationships/fontTable" Target="fontTable.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Agnieszka\Desktop\DP_20150718_084122.xls"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Dorota\Downloads\Inwentaryzacja%20CO2%20gmina%20Strawczyn.xlsx" TargetMode="External"/></Relationships>
</file>

<file path=word/charts/_rels/chart14.xml.rels><?xml version="1.0" encoding="UTF-8" standalone="yes"?>
<Relationships xmlns="http://schemas.openxmlformats.org/package/2006/relationships"><Relationship Id="rId1" Type="http://schemas.openxmlformats.org/officeDocument/2006/relationships/package" Target="../embeddings/Arkusz_programu_Microsoft_Office_Excel1.xlsx"/></Relationships>
</file>

<file path=word/charts/_rels/chart15.xml.rels><?xml version="1.0" encoding="UTF-8" standalone="yes"?>
<Relationships xmlns="http://schemas.openxmlformats.org/package/2006/relationships"><Relationship Id="rId1" Type="http://schemas.openxmlformats.org/officeDocument/2006/relationships/oleObject" Target="file:///C:\Users\Dorota\Downloads\prognozy.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Klaudia\Documents\Dru&#380;bice\Baza%20Emisji%20-%20Dru&#380;bic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lang val="pl-PL"/>
  <c:style val="24"/>
  <c:chart>
    <c:autoTitleDeleted val="1"/>
    <c:plotArea>
      <c:layout/>
      <c:barChart>
        <c:barDir val="col"/>
        <c:grouping val="clustered"/>
        <c:ser>
          <c:idx val="0"/>
          <c:order val="0"/>
          <c:tx>
            <c:strRef>
              <c:f>Charakterystyka!$B$7</c:f>
              <c:strCache>
                <c:ptCount val="1"/>
                <c:pt idx="0">
                  <c:v>Liczba mieszkańców</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schemeClr val="tx1"/>
              </a:solidFill>
            </a:ln>
          </c:spPr>
          <c:cat>
            <c:numRef>
              <c:f>Charakterystyka!$C$8:$P$8</c:f>
              <c:numCache>
                <c:formatCode>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Charakterystyka!$C$9:$P$9</c:f>
              <c:numCache>
                <c:formatCode>#,##0</c:formatCode>
                <c:ptCount val="14"/>
                <c:pt idx="0">
                  <c:v>9571</c:v>
                </c:pt>
                <c:pt idx="1">
                  <c:v>9623</c:v>
                </c:pt>
                <c:pt idx="2">
                  <c:v>9695</c:v>
                </c:pt>
                <c:pt idx="3">
                  <c:v>9681</c:v>
                </c:pt>
                <c:pt idx="4">
                  <c:v>9732</c:v>
                </c:pt>
                <c:pt idx="5">
                  <c:v>9780</c:v>
                </c:pt>
                <c:pt idx="6">
                  <c:v>9844</c:v>
                </c:pt>
                <c:pt idx="7">
                  <c:v>9937</c:v>
                </c:pt>
                <c:pt idx="8">
                  <c:v>9983</c:v>
                </c:pt>
                <c:pt idx="9">
                  <c:v>10063</c:v>
                </c:pt>
                <c:pt idx="10">
                  <c:v>10166</c:v>
                </c:pt>
                <c:pt idx="11">
                  <c:v>10254</c:v>
                </c:pt>
                <c:pt idx="12">
                  <c:v>10288</c:v>
                </c:pt>
                <c:pt idx="13">
                  <c:v>10346</c:v>
                </c:pt>
              </c:numCache>
            </c:numRef>
          </c:val>
        </c:ser>
        <c:dLbls/>
        <c:axId val="278124032"/>
        <c:axId val="278125952"/>
      </c:barChart>
      <c:catAx>
        <c:axId val="278124032"/>
        <c:scaling>
          <c:orientation val="minMax"/>
        </c:scaling>
        <c:axPos val="b"/>
        <c:title>
          <c:tx>
            <c:rich>
              <a:bodyPr/>
              <a:lstStyle/>
              <a:p>
                <a:pPr>
                  <a:defRPr/>
                </a:pPr>
                <a:r>
                  <a:rPr lang="pl-PL"/>
                  <a:t>Rok</a:t>
                </a:r>
              </a:p>
            </c:rich>
          </c:tx>
        </c:title>
        <c:numFmt formatCode="0" sourceLinked="1"/>
        <c:tickLblPos val="nextTo"/>
        <c:crossAx val="278125952"/>
        <c:crosses val="autoZero"/>
        <c:auto val="1"/>
        <c:lblAlgn val="ctr"/>
        <c:lblOffset val="100"/>
      </c:catAx>
      <c:valAx>
        <c:axId val="278125952"/>
        <c:scaling>
          <c:orientation val="minMax"/>
        </c:scaling>
        <c:axPos val="l"/>
        <c:majorGridlines/>
        <c:title>
          <c:tx>
            <c:rich>
              <a:bodyPr/>
              <a:lstStyle/>
              <a:p>
                <a:pPr>
                  <a:defRPr/>
                </a:pPr>
                <a:r>
                  <a:rPr lang="pl-PL"/>
                  <a:t>Liczba mieszkańców</a:t>
                </a:r>
              </a:p>
            </c:rich>
          </c:tx>
        </c:title>
        <c:numFmt formatCode="#,##0" sourceLinked="1"/>
        <c:tickLblPos val="nextTo"/>
        <c:crossAx val="278124032"/>
        <c:crosses val="autoZero"/>
        <c:crossBetween val="between"/>
      </c:valAx>
    </c:plotArea>
    <c:plotVisOnly val="1"/>
    <c:dispBlanksAs val="gap"/>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pl-PL"/>
  <c:style val="3"/>
  <c:chart>
    <c:autoTitleDeleted val="1"/>
    <c:plotArea>
      <c:layout/>
      <c:lineChart>
        <c:grouping val="standard"/>
        <c:ser>
          <c:idx val="1"/>
          <c:order val="0"/>
          <c:tx>
            <c:strRef>
              <c:f>Charakterystyka!$V$7</c:f>
              <c:strCache>
                <c:ptCount val="1"/>
                <c:pt idx="0">
                  <c:v>Prognoza liczby mieszkańców</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(Charakterystyka!$C$10:$O$10,Charakterystyka!$P$9,Charakterystyka!$X$9:$AD$9)</c:f>
              <c:numCache>
                <c:formatCode>General</c:formatCode>
                <c:ptCount val="21"/>
                <c:pt idx="13" formatCode="#,##0">
                  <c:v>10346</c:v>
                </c:pt>
                <c:pt idx="14" formatCode="#,##0">
                  <c:v>10409</c:v>
                </c:pt>
                <c:pt idx="15" formatCode="#,##0">
                  <c:v>10472</c:v>
                </c:pt>
                <c:pt idx="16" formatCode="#,##0">
                  <c:v>10536</c:v>
                </c:pt>
                <c:pt idx="17" formatCode="#,##0">
                  <c:v>10600</c:v>
                </c:pt>
                <c:pt idx="18" formatCode="#,##0">
                  <c:v>10665</c:v>
                </c:pt>
                <c:pt idx="19" formatCode="#,##0">
                  <c:v>10730</c:v>
                </c:pt>
                <c:pt idx="20" formatCode="#,##0">
                  <c:v>10795</c:v>
                </c:pt>
              </c:numCache>
            </c:numRef>
          </c:val>
          <c:smooth val="1"/>
        </c:ser>
        <c:ser>
          <c:idx val="0"/>
          <c:order val="1"/>
          <c:tx>
            <c:strRef>
              <c:f>Charakterystyka!$B$7</c:f>
              <c:strCache>
                <c:ptCount val="1"/>
                <c:pt idx="0">
                  <c:v>Liczba mieszkańców</c:v>
                </c:pt>
              </c:strCache>
            </c:strRef>
          </c:tx>
          <c:spPr>
            <a:ln w="28575" cap="rnd" cmpd="sng" algn="ctr">
              <a:solidFill>
                <a:schemeClr val="accent1">
                  <a:shade val="76000"/>
                </a:schemeClr>
              </a:solidFill>
              <a:prstDash val="solid"/>
              <a:round/>
            </a:ln>
            <a:effectLst/>
          </c:spPr>
          <c:marker>
            <c:spPr>
              <a:solidFill>
                <a:schemeClr val="accent1">
                  <a:lumMod val="75000"/>
                </a:schemeClr>
              </a:solidFill>
              <a:ln w="9525" cap="flat" cmpd="sng" algn="ctr">
                <a:solidFill>
                  <a:schemeClr val="accent1">
                    <a:shade val="76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Charakterystyka!$C$9:$P$9</c:f>
              <c:numCache>
                <c:formatCode>#,##0</c:formatCode>
                <c:ptCount val="14"/>
                <c:pt idx="0">
                  <c:v>9571</c:v>
                </c:pt>
                <c:pt idx="1">
                  <c:v>9623</c:v>
                </c:pt>
                <c:pt idx="2">
                  <c:v>9695</c:v>
                </c:pt>
                <c:pt idx="3">
                  <c:v>9681</c:v>
                </c:pt>
                <c:pt idx="4">
                  <c:v>9732</c:v>
                </c:pt>
                <c:pt idx="5">
                  <c:v>9780</c:v>
                </c:pt>
                <c:pt idx="6">
                  <c:v>9844</c:v>
                </c:pt>
                <c:pt idx="7">
                  <c:v>9937</c:v>
                </c:pt>
                <c:pt idx="8">
                  <c:v>9983</c:v>
                </c:pt>
                <c:pt idx="9">
                  <c:v>10063</c:v>
                </c:pt>
                <c:pt idx="10">
                  <c:v>10166</c:v>
                </c:pt>
                <c:pt idx="11">
                  <c:v>10254</c:v>
                </c:pt>
                <c:pt idx="12">
                  <c:v>10288</c:v>
                </c:pt>
                <c:pt idx="13">
                  <c:v>10346</c:v>
                </c:pt>
              </c:numCache>
            </c:numRef>
          </c:val>
          <c:smooth val="1"/>
        </c:ser>
        <c:dLbls/>
        <c:marker val="1"/>
        <c:axId val="285854336"/>
        <c:axId val="285860224"/>
      </c:lineChart>
      <c:catAx>
        <c:axId val="285854336"/>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5860224"/>
        <c:crosses val="autoZero"/>
        <c:auto val="1"/>
        <c:lblAlgn val="ctr"/>
        <c:lblOffset val="100"/>
      </c:catAx>
      <c:valAx>
        <c:axId val="285860224"/>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5854336"/>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pl-PL"/>
  <c:style val="23"/>
  <c:chart>
    <c:autoTitleDeleted val="1"/>
    <c:plotArea>
      <c:layout/>
      <c:barChart>
        <c:barDir val="col"/>
        <c:grouping val="clustered"/>
        <c:ser>
          <c:idx val="0"/>
          <c:order val="0"/>
          <c:tx>
            <c:strRef>
              <c:f>Charakterystyka!$B$26</c:f>
              <c:strCache>
                <c:ptCount val="1"/>
                <c:pt idx="0">
                  <c:v>Liczba mieszkań</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cat>
            <c:numRef>
              <c:f>Charakterystyka!$C$27:$P$27</c:f>
              <c:numCache>
                <c:formatCode>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Charakterystyka!$C$28:$P$28</c:f>
              <c:numCache>
                <c:formatCode>#,##0</c:formatCode>
                <c:ptCount val="14"/>
                <c:pt idx="0">
                  <c:v>1863</c:v>
                </c:pt>
                <c:pt idx="1">
                  <c:v>1873</c:v>
                </c:pt>
                <c:pt idx="2">
                  <c:v>2210</c:v>
                </c:pt>
                <c:pt idx="3">
                  <c:v>2319</c:v>
                </c:pt>
                <c:pt idx="4">
                  <c:v>2329</c:v>
                </c:pt>
                <c:pt idx="5">
                  <c:v>2337</c:v>
                </c:pt>
                <c:pt idx="6">
                  <c:v>2350</c:v>
                </c:pt>
                <c:pt idx="7">
                  <c:v>2370</c:v>
                </c:pt>
                <c:pt idx="8">
                  <c:v>2422</c:v>
                </c:pt>
                <c:pt idx="9">
                  <c:v>2438</c:v>
                </c:pt>
                <c:pt idx="10">
                  <c:v>2402</c:v>
                </c:pt>
                <c:pt idx="11">
                  <c:v>2435</c:v>
                </c:pt>
                <c:pt idx="12">
                  <c:v>2465</c:v>
                </c:pt>
                <c:pt idx="13">
                  <c:v>2503</c:v>
                </c:pt>
              </c:numCache>
            </c:numRef>
          </c:val>
        </c:ser>
        <c:dLbls/>
        <c:axId val="285832704"/>
        <c:axId val="285834240"/>
      </c:barChart>
      <c:catAx>
        <c:axId val="285832704"/>
        <c:scaling>
          <c:orientation val="minMax"/>
        </c:scaling>
        <c:axPos val="b"/>
        <c:numFmt formatCode="0" sourceLinked="1"/>
        <c:tickLblPos val="nextTo"/>
        <c:crossAx val="285834240"/>
        <c:crosses val="autoZero"/>
        <c:auto val="1"/>
        <c:lblAlgn val="ctr"/>
        <c:lblOffset val="100"/>
      </c:catAx>
      <c:valAx>
        <c:axId val="285834240"/>
        <c:scaling>
          <c:orientation val="minMax"/>
        </c:scaling>
        <c:axPos val="l"/>
        <c:majorGridlines/>
        <c:numFmt formatCode="#,##0" sourceLinked="1"/>
        <c:tickLblPos val="nextTo"/>
        <c:crossAx val="285832704"/>
        <c:crosses val="autoZero"/>
        <c:crossBetween val="between"/>
      </c:valAx>
    </c:plotArea>
    <c:plotVisOnly val="1"/>
    <c:dispBlanksAs val="gap"/>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pl-PL"/>
  <c:style val="3"/>
  <c:chart>
    <c:autoTitleDeleted val="1"/>
    <c:plotArea>
      <c:layout/>
      <c:lineChart>
        <c:grouping val="standard"/>
        <c:ser>
          <c:idx val="1"/>
          <c:order val="0"/>
          <c:tx>
            <c:strRef>
              <c:f>Charakterystyka!$V$26</c:f>
              <c:strCache>
                <c:ptCount val="1"/>
                <c:pt idx="0">
                  <c:v>Prognoza liczby mieszkań</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(Charakterystyka!$C$29:$O$29,Charakterystyka!$P$28,Charakterystyka!$X$28:$AD$28)</c:f>
              <c:numCache>
                <c:formatCode>General</c:formatCode>
                <c:ptCount val="21"/>
                <c:pt idx="13" formatCode="#,##0">
                  <c:v>2503</c:v>
                </c:pt>
                <c:pt idx="14" formatCode="#,##0">
                  <c:v>2529.1</c:v>
                </c:pt>
                <c:pt idx="15" formatCode="#,##0">
                  <c:v>2555.1999999999998</c:v>
                </c:pt>
                <c:pt idx="16" formatCode="#,##0">
                  <c:v>2581.2999999999997</c:v>
                </c:pt>
                <c:pt idx="17" formatCode="#,##0">
                  <c:v>2607.3999999999996</c:v>
                </c:pt>
                <c:pt idx="18" formatCode="#,##0">
                  <c:v>2633.4999999999995</c:v>
                </c:pt>
                <c:pt idx="19" formatCode="#,##0">
                  <c:v>2659.5999999999995</c:v>
                </c:pt>
                <c:pt idx="20" formatCode="#,##0">
                  <c:v>2685.6999999999994</c:v>
                </c:pt>
              </c:numCache>
            </c:numRef>
          </c:val>
          <c:smooth val="1"/>
        </c:ser>
        <c:ser>
          <c:idx val="0"/>
          <c:order val="1"/>
          <c:tx>
            <c:strRef>
              <c:f>Charakterystyka!$B$26</c:f>
              <c:strCache>
                <c:ptCount val="1"/>
                <c:pt idx="0">
                  <c:v>Liczba mieszkań</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Charakterystyka!$C$28:$P$28</c:f>
              <c:numCache>
                <c:formatCode>#,##0</c:formatCode>
                <c:ptCount val="14"/>
                <c:pt idx="0">
                  <c:v>1863</c:v>
                </c:pt>
                <c:pt idx="1">
                  <c:v>1873</c:v>
                </c:pt>
                <c:pt idx="2">
                  <c:v>2210</c:v>
                </c:pt>
                <c:pt idx="3">
                  <c:v>2319</c:v>
                </c:pt>
                <c:pt idx="4">
                  <c:v>2329</c:v>
                </c:pt>
                <c:pt idx="5">
                  <c:v>2337</c:v>
                </c:pt>
                <c:pt idx="6">
                  <c:v>2350</c:v>
                </c:pt>
                <c:pt idx="7">
                  <c:v>2370</c:v>
                </c:pt>
                <c:pt idx="8">
                  <c:v>2422</c:v>
                </c:pt>
                <c:pt idx="9">
                  <c:v>2438</c:v>
                </c:pt>
                <c:pt idx="10">
                  <c:v>2402</c:v>
                </c:pt>
                <c:pt idx="11">
                  <c:v>2435</c:v>
                </c:pt>
                <c:pt idx="12">
                  <c:v>2465</c:v>
                </c:pt>
                <c:pt idx="13">
                  <c:v>2503</c:v>
                </c:pt>
              </c:numCache>
            </c:numRef>
          </c:val>
          <c:smooth val="1"/>
        </c:ser>
        <c:dLbls/>
        <c:marker val="1"/>
        <c:axId val="287643520"/>
        <c:axId val="287645056"/>
      </c:lineChart>
      <c:catAx>
        <c:axId val="287643520"/>
        <c:scaling>
          <c:orientation val="minMax"/>
        </c:scaling>
        <c:axPos val="b"/>
        <c:numFmt formatCode="0" sourceLinked="1"/>
        <c:majorTickMark val="none"/>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645056"/>
        <c:crosses val="autoZero"/>
        <c:auto val="1"/>
        <c:lblAlgn val="ctr"/>
        <c:lblOffset val="100"/>
      </c:catAx>
      <c:valAx>
        <c:axId val="287645056"/>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majorTickMark val="none"/>
        <c:tickLblPos val="nextTo"/>
        <c:spPr>
          <a:noFill/>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643520"/>
        <c:crosses val="autoZero"/>
        <c:crossBetween val="between"/>
      </c:valAx>
      <c:spPr>
        <a:solidFill>
          <a:schemeClr val="bg1"/>
        </a:solidFill>
        <a:ln>
          <a:noFill/>
        </a:ln>
        <a:effectLst/>
      </c:spPr>
    </c:plotArea>
    <c:legend>
      <c:legendPos val="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pl-PL"/>
  <c:style val="24"/>
  <c:chart>
    <c:autoTitleDeleted val="1"/>
    <c:plotArea>
      <c:layout/>
      <c:barChart>
        <c:barDir val="col"/>
        <c:grouping val="clustered"/>
        <c:ser>
          <c:idx val="0"/>
          <c:order val="0"/>
          <c:tx>
            <c:strRef>
              <c:f>Charakterystyka!$B$46</c:f>
              <c:strCache>
                <c:ptCount val="1"/>
                <c:pt idx="0">
                  <c:v>Liczba nowych mieszkań</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l="100000" t="100000"/>
              </a:path>
              <a:tileRect r="-100000" b="-100000"/>
            </a:gradFill>
            <a:ln>
              <a:solidFill>
                <a:prstClr val="black"/>
              </a:solidFill>
            </a:ln>
          </c:spPr>
          <c:cat>
            <c:numRef>
              <c:f>Charakterystyka!$C$47:$P$47</c:f>
              <c:numCache>
                <c:formatCode>0</c:formatCode>
                <c:ptCount val="9"/>
                <c:pt idx="0">
                  <c:v>2005</c:v>
                </c:pt>
                <c:pt idx="1">
                  <c:v>2006</c:v>
                </c:pt>
                <c:pt idx="2">
                  <c:v>2007</c:v>
                </c:pt>
                <c:pt idx="3">
                  <c:v>2008</c:v>
                </c:pt>
                <c:pt idx="4">
                  <c:v>2009</c:v>
                </c:pt>
                <c:pt idx="5">
                  <c:v>2010</c:v>
                </c:pt>
                <c:pt idx="6">
                  <c:v>2011</c:v>
                </c:pt>
                <c:pt idx="7">
                  <c:v>2012</c:v>
                </c:pt>
                <c:pt idx="8">
                  <c:v>2013</c:v>
                </c:pt>
              </c:numCache>
              <c:extLst/>
            </c:numRef>
          </c:cat>
          <c:val>
            <c:numRef>
              <c:f>Charakterystyka!$C$48:$P$48</c:f>
              <c:numCache>
                <c:formatCode>#,##0</c:formatCode>
                <c:ptCount val="9"/>
                <c:pt idx="0">
                  <c:v>10</c:v>
                </c:pt>
                <c:pt idx="1">
                  <c:v>18</c:v>
                </c:pt>
                <c:pt idx="2">
                  <c:v>29</c:v>
                </c:pt>
                <c:pt idx="3">
                  <c:v>52</c:v>
                </c:pt>
                <c:pt idx="4">
                  <c:v>16</c:v>
                </c:pt>
                <c:pt idx="5">
                  <c:v>25</c:v>
                </c:pt>
                <c:pt idx="6">
                  <c:v>39</c:v>
                </c:pt>
                <c:pt idx="7">
                  <c:v>32</c:v>
                </c:pt>
                <c:pt idx="8">
                  <c:v>40</c:v>
                </c:pt>
              </c:numCache>
              <c:extLst/>
            </c:numRef>
          </c:val>
        </c:ser>
        <c:dLbls/>
        <c:axId val="287675136"/>
        <c:axId val="287676672"/>
      </c:barChart>
      <c:catAx>
        <c:axId val="287675136"/>
        <c:scaling>
          <c:orientation val="minMax"/>
        </c:scaling>
        <c:axPos val="b"/>
        <c:numFmt formatCode="0" sourceLinked="1"/>
        <c:tickLblPos val="nextTo"/>
        <c:crossAx val="287676672"/>
        <c:crosses val="autoZero"/>
        <c:auto val="1"/>
        <c:lblAlgn val="ctr"/>
        <c:lblOffset val="100"/>
      </c:catAx>
      <c:valAx>
        <c:axId val="287676672"/>
        <c:scaling>
          <c:orientation val="minMax"/>
        </c:scaling>
        <c:axPos val="l"/>
        <c:majorGridlines/>
        <c:numFmt formatCode="#,##0" sourceLinked="1"/>
        <c:tickLblPos val="nextTo"/>
        <c:crossAx val="287675136"/>
        <c:crosses val="autoZero"/>
        <c:crossBetween val="between"/>
      </c:valAx>
    </c:plotArea>
    <c:plotVisOnly val="1"/>
    <c:dispBlanksAs val="gap"/>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lang val="pl-PL"/>
  <c:style val="24"/>
  <c:chart>
    <c:autoTitleDeleted val="1"/>
    <c:plotArea>
      <c:layout/>
      <c:barChart>
        <c:barDir val="col"/>
        <c:grouping val="clustered"/>
        <c:ser>
          <c:idx val="0"/>
          <c:order val="0"/>
          <c:tx>
            <c:strRef>
              <c:f>Charakterystyka!$B$84</c:f>
              <c:strCache>
                <c:ptCount val="1"/>
                <c:pt idx="0">
                  <c:v>Średnia powierzchnia mieszkań  [m2]</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cat>
            <c:numRef>
              <c:f>Charakterystyka!$C$85:$P$85</c:f>
              <c:numCache>
                <c:formatCode>0</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extLst/>
            </c:numRef>
          </c:cat>
          <c:val>
            <c:numRef>
              <c:f>Charakterystyka!$C$86:$P$86</c:f>
              <c:numCache>
                <c:formatCode>#,##0.0</c:formatCode>
                <c:ptCount val="12"/>
                <c:pt idx="0">
                  <c:v>89.7</c:v>
                </c:pt>
                <c:pt idx="1">
                  <c:v>91.9</c:v>
                </c:pt>
                <c:pt idx="2">
                  <c:v>91.9</c:v>
                </c:pt>
                <c:pt idx="3">
                  <c:v>92.2</c:v>
                </c:pt>
                <c:pt idx="4">
                  <c:v>92.2</c:v>
                </c:pt>
                <c:pt idx="5">
                  <c:v>92.5</c:v>
                </c:pt>
                <c:pt idx="6">
                  <c:v>93.1</c:v>
                </c:pt>
                <c:pt idx="7">
                  <c:v>93.4</c:v>
                </c:pt>
                <c:pt idx="8">
                  <c:v>94.3</c:v>
                </c:pt>
                <c:pt idx="9">
                  <c:v>94.6</c:v>
                </c:pt>
                <c:pt idx="10">
                  <c:v>94.9</c:v>
                </c:pt>
                <c:pt idx="11">
                  <c:v>95.4</c:v>
                </c:pt>
              </c:numCache>
              <c:extLst/>
            </c:numRef>
          </c:val>
        </c:ser>
        <c:dLbls/>
        <c:axId val="287569408"/>
        <c:axId val="287570944"/>
      </c:barChart>
      <c:catAx>
        <c:axId val="287569408"/>
        <c:scaling>
          <c:orientation val="minMax"/>
        </c:scaling>
        <c:axPos val="b"/>
        <c:numFmt formatCode="0" sourceLinked="1"/>
        <c:tickLblPos val="nextTo"/>
        <c:crossAx val="287570944"/>
        <c:crosses val="autoZero"/>
        <c:auto val="1"/>
        <c:lblAlgn val="ctr"/>
        <c:lblOffset val="100"/>
      </c:catAx>
      <c:valAx>
        <c:axId val="287570944"/>
        <c:scaling>
          <c:orientation val="minMax"/>
        </c:scaling>
        <c:axPos val="l"/>
        <c:majorGridlines/>
        <c:numFmt formatCode="#,##0.0" sourceLinked="1"/>
        <c:tickLblPos val="nextTo"/>
        <c:crossAx val="287569408"/>
        <c:crosses val="autoZero"/>
        <c:crossBetween val="between"/>
      </c:valAx>
    </c:plotArea>
    <c:plotVisOnly val="1"/>
    <c:dispBlanksAs val="gap"/>
  </c:chart>
  <c:spPr>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lang val="pl-PL"/>
  <c:style val="3"/>
  <c:chart>
    <c:autoTitleDeleted val="1"/>
    <c:plotArea>
      <c:layout>
        <c:manualLayout>
          <c:layoutTarget val="inner"/>
          <c:xMode val="edge"/>
          <c:yMode val="edge"/>
          <c:x val="6.5370942556231104E-2"/>
          <c:y val="0.21068881484609359"/>
          <c:w val="0.59688644141001357"/>
          <c:h val="0.62344112907772553"/>
        </c:manualLayout>
      </c:layout>
      <c:lineChart>
        <c:grouping val="standard"/>
        <c:ser>
          <c:idx val="1"/>
          <c:order val="0"/>
          <c:tx>
            <c:strRef>
              <c:f>Charakterystyka!$V$84</c:f>
              <c:strCache>
                <c:ptCount val="1"/>
                <c:pt idx="0">
                  <c:v>Prognoza średniej powierzchni mieszkań  [m2]</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19"/>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pt idx="17">
                  <c:v>2019</c:v>
                </c:pt>
                <c:pt idx="18">
                  <c:v>2020</c:v>
                </c:pt>
              </c:numCache>
              <c:extLst/>
            </c:numRef>
          </c:cat>
          <c:val>
            <c:numRef>
              <c:f>(Charakterystyka!$C$87:$O$87,Charakterystyka!$P$86,Charakterystyka!$X$86:$AD$86)</c:f>
              <c:numCache>
                <c:formatCode>General</c:formatCode>
                <c:ptCount val="19"/>
                <c:pt idx="11" formatCode="#,##0.0">
                  <c:v>95.4</c:v>
                </c:pt>
                <c:pt idx="12" formatCode="#,##0.0">
                  <c:v>95.45134632873355</c:v>
                </c:pt>
                <c:pt idx="13" formatCode="#,##0.0">
                  <c:v>95.510723231058236</c:v>
                </c:pt>
                <c:pt idx="14" formatCode="#,##0.0">
                  <c:v>95.580134040987105</c:v>
                </c:pt>
                <c:pt idx="15" formatCode="#,##0.0">
                  <c:v>95.659277441129078</c:v>
                </c:pt>
                <c:pt idx="16" formatCode="#,##0.0">
                  <c:v>95.748243782039125</c:v>
                </c:pt>
                <c:pt idx="17" formatCode="#,##0.0">
                  <c:v>95.846743871258852</c:v>
                </c:pt>
                <c:pt idx="18" formatCode="#,##0.0">
                  <c:v>95.954499757977786</c:v>
                </c:pt>
              </c:numCache>
              <c:extLst/>
            </c:numRef>
          </c:val>
          <c:smooth val="1"/>
        </c:ser>
        <c:ser>
          <c:idx val="0"/>
          <c:order val="1"/>
          <c:tx>
            <c:strRef>
              <c:f>Charakterystyka!$B$84</c:f>
              <c:strCache>
                <c:ptCount val="1"/>
                <c:pt idx="0">
                  <c:v>Średnia powierzchnia mieszkań  [m2]</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19"/>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pt idx="17">
                  <c:v>2019</c:v>
                </c:pt>
                <c:pt idx="18">
                  <c:v>2020</c:v>
                </c:pt>
              </c:numCache>
              <c:extLst/>
            </c:numRef>
          </c:cat>
          <c:val>
            <c:numRef>
              <c:f>Charakterystyka!$C$86:$P$86</c:f>
              <c:numCache>
                <c:formatCode>#,##0.0</c:formatCode>
                <c:ptCount val="12"/>
                <c:pt idx="0">
                  <c:v>89.7</c:v>
                </c:pt>
                <c:pt idx="1">
                  <c:v>91.9</c:v>
                </c:pt>
                <c:pt idx="2">
                  <c:v>91.9</c:v>
                </c:pt>
                <c:pt idx="3">
                  <c:v>92.2</c:v>
                </c:pt>
                <c:pt idx="4">
                  <c:v>92.2</c:v>
                </c:pt>
                <c:pt idx="5">
                  <c:v>92.5</c:v>
                </c:pt>
                <c:pt idx="6">
                  <c:v>93.1</c:v>
                </c:pt>
                <c:pt idx="7">
                  <c:v>93.4</c:v>
                </c:pt>
                <c:pt idx="8">
                  <c:v>94.3</c:v>
                </c:pt>
                <c:pt idx="9">
                  <c:v>94.6</c:v>
                </c:pt>
                <c:pt idx="10">
                  <c:v>94.9</c:v>
                </c:pt>
                <c:pt idx="11">
                  <c:v>95.4</c:v>
                </c:pt>
              </c:numCache>
              <c:extLst/>
            </c:numRef>
          </c:val>
          <c:smooth val="1"/>
        </c:ser>
        <c:dLbls/>
        <c:marker val="1"/>
        <c:axId val="287630080"/>
        <c:axId val="287631616"/>
      </c:lineChart>
      <c:catAx>
        <c:axId val="287630080"/>
        <c:scaling>
          <c:orientation val="minMax"/>
        </c:scaling>
        <c:axPos val="b"/>
        <c:numFmt formatCode="0" sourceLinked="1"/>
        <c:majorTickMark val="none"/>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631616"/>
        <c:crosses val="autoZero"/>
        <c:auto val="1"/>
        <c:lblAlgn val="ctr"/>
        <c:lblOffset val="100"/>
      </c:catAx>
      <c:valAx>
        <c:axId val="287631616"/>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majorTickMark val="none"/>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630080"/>
        <c:crosses val="autoZero"/>
        <c:crossBetween val="between"/>
      </c:valAx>
      <c:spPr>
        <a:solidFill>
          <a:schemeClr val="bg1"/>
        </a:solidFill>
        <a:ln>
          <a:noFill/>
        </a:ln>
        <a:effectLst/>
      </c:spPr>
    </c:plotArea>
    <c:legend>
      <c:legendPos val="r"/>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lang val="pl-PL"/>
  <c:style val="23"/>
  <c:chart>
    <c:autoTitleDeleted val="1"/>
    <c:plotArea>
      <c:layout/>
      <c:barChart>
        <c:barDir val="col"/>
        <c:grouping val="clustered"/>
        <c:ser>
          <c:idx val="0"/>
          <c:order val="0"/>
          <c:tx>
            <c:strRef>
              <c:f>Charakterystyka!$B$65</c:f>
              <c:strCache>
                <c:ptCount val="1"/>
                <c:pt idx="0">
                  <c:v>Ogólna powierzchnia mieszkań [m2]</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cat>
            <c:numRef>
              <c:f>Charakterystyka!$C$66:$P$66</c:f>
              <c:numCache>
                <c:formatCode>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Charakterystyka!$C$67:$P$67</c:f>
              <c:numCache>
                <c:formatCode>#,##0</c:formatCode>
                <c:ptCount val="14"/>
                <c:pt idx="0">
                  <c:v>130348</c:v>
                </c:pt>
                <c:pt idx="1">
                  <c:v>131632</c:v>
                </c:pt>
                <c:pt idx="2">
                  <c:v>198141</c:v>
                </c:pt>
                <c:pt idx="3">
                  <c:v>213009</c:v>
                </c:pt>
                <c:pt idx="4">
                  <c:v>214149</c:v>
                </c:pt>
                <c:pt idx="5">
                  <c:v>215263</c:v>
                </c:pt>
                <c:pt idx="6">
                  <c:v>216666</c:v>
                </c:pt>
                <c:pt idx="7">
                  <c:v>219316</c:v>
                </c:pt>
                <c:pt idx="8">
                  <c:v>225552</c:v>
                </c:pt>
                <c:pt idx="9">
                  <c:v>227594</c:v>
                </c:pt>
                <c:pt idx="10">
                  <c:v>226489</c:v>
                </c:pt>
                <c:pt idx="11">
                  <c:v>230382</c:v>
                </c:pt>
                <c:pt idx="12">
                  <c:v>234031</c:v>
                </c:pt>
                <c:pt idx="13">
                  <c:v>238791</c:v>
                </c:pt>
              </c:numCache>
            </c:numRef>
          </c:val>
        </c:ser>
        <c:dLbls/>
        <c:axId val="287728384"/>
        <c:axId val="287729920"/>
      </c:barChart>
      <c:catAx>
        <c:axId val="287728384"/>
        <c:scaling>
          <c:orientation val="minMax"/>
        </c:scaling>
        <c:axPos val="b"/>
        <c:numFmt formatCode="0" sourceLinked="1"/>
        <c:tickLblPos val="nextTo"/>
        <c:crossAx val="287729920"/>
        <c:crosses val="autoZero"/>
        <c:auto val="1"/>
        <c:lblAlgn val="ctr"/>
        <c:lblOffset val="100"/>
      </c:catAx>
      <c:valAx>
        <c:axId val="287729920"/>
        <c:scaling>
          <c:orientation val="minMax"/>
        </c:scaling>
        <c:axPos val="l"/>
        <c:majorGridlines/>
        <c:numFmt formatCode="#,##0" sourceLinked="1"/>
        <c:tickLblPos val="nextTo"/>
        <c:crossAx val="287728384"/>
        <c:crosses val="autoZero"/>
        <c:crossBetween val="between"/>
      </c:valAx>
    </c:plotArea>
    <c:plotVisOnly val="1"/>
    <c:dispBlanksAs val="gap"/>
  </c:chart>
  <c:spPr>
    <a:ln>
      <a:noFill/>
    </a:ln>
  </c:sp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lang val="pl-PL"/>
  <c:style val="3"/>
  <c:chart>
    <c:autoTitleDeleted val="1"/>
    <c:plotArea>
      <c:layout/>
      <c:lineChart>
        <c:grouping val="standard"/>
        <c:ser>
          <c:idx val="1"/>
          <c:order val="0"/>
          <c:tx>
            <c:strRef>
              <c:f>Charakterystyka!$V$65</c:f>
              <c:strCache>
                <c:ptCount val="1"/>
                <c:pt idx="0">
                  <c:v>Prognoza ogólnej powierzchni mieszkań [m2]</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(Charakterystyka!$C$68:$O$68,Charakterystyka!$P$67,Charakterystyka!$X$67:$AD$67)</c:f>
              <c:numCache>
                <c:formatCode>General</c:formatCode>
                <c:ptCount val="21"/>
                <c:pt idx="13" formatCode="#,##0">
                  <c:v>238791</c:v>
                </c:pt>
                <c:pt idx="14" formatCode="#,##0">
                  <c:v>241406</c:v>
                </c:pt>
                <c:pt idx="15" formatCode="#,##0">
                  <c:v>244049</c:v>
                </c:pt>
                <c:pt idx="16" formatCode="#,##0">
                  <c:v>246721</c:v>
                </c:pt>
                <c:pt idx="17" formatCode="#,##0">
                  <c:v>249422</c:v>
                </c:pt>
                <c:pt idx="18" formatCode="#,##0">
                  <c:v>252153</c:v>
                </c:pt>
                <c:pt idx="19" formatCode="#,##0">
                  <c:v>254914</c:v>
                </c:pt>
                <c:pt idx="20" formatCode="#,##0">
                  <c:v>257705</c:v>
                </c:pt>
              </c:numCache>
            </c:numRef>
          </c:val>
          <c:smooth val="1"/>
        </c:ser>
        <c:ser>
          <c:idx val="0"/>
          <c:order val="1"/>
          <c:tx>
            <c:strRef>
              <c:f>Charakterystyka!$B$65</c:f>
              <c:strCache>
                <c:ptCount val="1"/>
                <c:pt idx="0">
                  <c:v>Ogólna powierzchnia mieszkań [m2]</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Charakterystyka!$C$67:$P$67</c:f>
              <c:numCache>
                <c:formatCode>#,##0</c:formatCode>
                <c:ptCount val="14"/>
                <c:pt idx="0">
                  <c:v>130348</c:v>
                </c:pt>
                <c:pt idx="1">
                  <c:v>131632</c:v>
                </c:pt>
                <c:pt idx="2">
                  <c:v>198141</c:v>
                </c:pt>
                <c:pt idx="3">
                  <c:v>213009</c:v>
                </c:pt>
                <c:pt idx="4">
                  <c:v>214149</c:v>
                </c:pt>
                <c:pt idx="5">
                  <c:v>215263</c:v>
                </c:pt>
                <c:pt idx="6">
                  <c:v>216666</c:v>
                </c:pt>
                <c:pt idx="7">
                  <c:v>219316</c:v>
                </c:pt>
                <c:pt idx="8">
                  <c:v>225552</c:v>
                </c:pt>
                <c:pt idx="9">
                  <c:v>227594</c:v>
                </c:pt>
                <c:pt idx="10">
                  <c:v>226489</c:v>
                </c:pt>
                <c:pt idx="11">
                  <c:v>230382</c:v>
                </c:pt>
                <c:pt idx="12">
                  <c:v>234031</c:v>
                </c:pt>
                <c:pt idx="13">
                  <c:v>238791</c:v>
                </c:pt>
              </c:numCache>
            </c:numRef>
          </c:val>
          <c:smooth val="1"/>
        </c:ser>
        <c:dLbls/>
        <c:marker val="1"/>
        <c:axId val="287761536"/>
        <c:axId val="287763072"/>
      </c:lineChart>
      <c:catAx>
        <c:axId val="287761536"/>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763072"/>
        <c:crosses val="autoZero"/>
        <c:auto val="1"/>
        <c:lblAlgn val="ctr"/>
        <c:lblOffset val="100"/>
      </c:catAx>
      <c:valAx>
        <c:axId val="287763072"/>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761536"/>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lang val="pl-PL"/>
  <c:style val="23"/>
  <c:chart>
    <c:autoTitleDeleted val="1"/>
    <c:plotArea>
      <c:layout/>
      <c:barChart>
        <c:barDir val="col"/>
        <c:grouping val="clustered"/>
        <c:ser>
          <c:idx val="0"/>
          <c:order val="0"/>
          <c:tx>
            <c:strRef>
              <c:f>Charakterystyka!$B$103</c:f>
              <c:strCache>
                <c:ptCount val="1"/>
                <c:pt idx="0">
                  <c:v>Zarejestrowane podmioty gospodarcze</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dLbls>
            <c:spPr>
              <a:noFill/>
              <a:ln>
                <a:noFill/>
              </a:ln>
              <a:effectLst/>
            </c:spPr>
            <c:showVal val="1"/>
            <c:extLst>
              <c:ext xmlns:c15="http://schemas.microsoft.com/office/drawing/2012/chart" uri="{CE6537A1-D6FC-4f65-9D91-7224C49458BB}">
                <c15:showLeaderLines val="1"/>
              </c:ext>
            </c:extLst>
          </c:dLbls>
          <c:cat>
            <c:numRef>
              <c:f>Charakterystyka!$C$104:$P$104</c:f>
              <c:numCache>
                <c:formatCode>0</c:formatCode>
                <c:ptCount val="5"/>
                <c:pt idx="0">
                  <c:v>2009</c:v>
                </c:pt>
                <c:pt idx="1">
                  <c:v>2010</c:v>
                </c:pt>
                <c:pt idx="2">
                  <c:v>2011</c:v>
                </c:pt>
                <c:pt idx="3">
                  <c:v>2012</c:v>
                </c:pt>
                <c:pt idx="4">
                  <c:v>2013</c:v>
                </c:pt>
              </c:numCache>
              <c:extLst/>
            </c:numRef>
          </c:cat>
          <c:val>
            <c:numRef>
              <c:f>Charakterystyka!$C$105:$P$105</c:f>
              <c:numCache>
                <c:formatCode>#,##0</c:formatCode>
                <c:ptCount val="5"/>
                <c:pt idx="0">
                  <c:v>572</c:v>
                </c:pt>
                <c:pt idx="1">
                  <c:v>627</c:v>
                </c:pt>
                <c:pt idx="2">
                  <c:v>631</c:v>
                </c:pt>
                <c:pt idx="3">
                  <c:v>670</c:v>
                </c:pt>
                <c:pt idx="4">
                  <c:v>722</c:v>
                </c:pt>
              </c:numCache>
              <c:extLst/>
            </c:numRef>
          </c:val>
        </c:ser>
        <c:dLbls/>
        <c:axId val="287793152"/>
        <c:axId val="287794688"/>
      </c:barChart>
      <c:catAx>
        <c:axId val="287793152"/>
        <c:scaling>
          <c:orientation val="minMax"/>
        </c:scaling>
        <c:axPos val="b"/>
        <c:numFmt formatCode="0" sourceLinked="1"/>
        <c:tickLblPos val="nextTo"/>
        <c:crossAx val="287794688"/>
        <c:crosses val="autoZero"/>
        <c:auto val="1"/>
        <c:lblAlgn val="ctr"/>
        <c:lblOffset val="100"/>
      </c:catAx>
      <c:valAx>
        <c:axId val="287794688"/>
        <c:scaling>
          <c:orientation val="minMax"/>
        </c:scaling>
        <c:axPos val="l"/>
        <c:majorGridlines/>
        <c:numFmt formatCode="#,##0" sourceLinked="1"/>
        <c:tickLblPos val="nextTo"/>
        <c:crossAx val="287793152"/>
        <c:crosses val="autoZero"/>
        <c:crossBetween val="between"/>
      </c:valAx>
    </c:plotArea>
    <c:plotVisOnly val="1"/>
    <c:dispBlanksAs val="gap"/>
  </c:chart>
  <c:spPr>
    <a:ln>
      <a:noFill/>
    </a:ln>
  </c:sp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lang val="pl-PL"/>
  <c:chart>
    <c:autoTitleDeleted val="1"/>
    <c:plotArea>
      <c:layout/>
      <c:barChart>
        <c:barDir val="col"/>
        <c:grouping val="clustered"/>
        <c:ser>
          <c:idx val="0"/>
          <c:order val="0"/>
          <c:spPr>
            <a:solidFill>
              <a:schemeClr val="accent1"/>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dLblPos val="inEnd"/>
            <c:showVal val="1"/>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[DP_20150718_084122.xls]DATA!$F$9:$F$28</c:f>
              <c:strCache>
                <c:ptCount val="20"/>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pt idx="17">
                  <c:v>R</c:v>
                </c:pt>
                <c:pt idx="18">
                  <c:v>SiT</c:v>
                </c:pt>
                <c:pt idx="19">
                  <c:v>U</c:v>
                </c:pt>
              </c:strCache>
            </c:strRef>
          </c:cat>
          <c:val>
            <c:numRef>
              <c:f>[DP_20150718_084122.xls]DATA!$H$9:$H$28</c:f>
              <c:numCache>
                <c:formatCode>0%</c:formatCode>
                <c:ptCount val="20"/>
                <c:pt idx="0">
                  <c:v>2.7700831024930792E-2</c:v>
                </c:pt>
                <c:pt idx="1">
                  <c:v>0</c:v>
                </c:pt>
                <c:pt idx="2">
                  <c:v>0.1038781163434903</c:v>
                </c:pt>
                <c:pt idx="3">
                  <c:v>0</c:v>
                </c:pt>
                <c:pt idx="4">
                  <c:v>4.1551246537396115E-3</c:v>
                </c:pt>
                <c:pt idx="5">
                  <c:v>0.25069252077562326</c:v>
                </c:pt>
                <c:pt idx="6">
                  <c:v>0.28116343490304707</c:v>
                </c:pt>
                <c:pt idx="7">
                  <c:v>9.8337950138504243E-2</c:v>
                </c:pt>
                <c:pt idx="8">
                  <c:v>2.6315789473684216E-2</c:v>
                </c:pt>
                <c:pt idx="9">
                  <c:v>1.1080332409972301E-2</c:v>
                </c:pt>
                <c:pt idx="10">
                  <c:v>9.6952908587258305E-3</c:v>
                </c:pt>
                <c:pt idx="11">
                  <c:v>8.3102493074792803E-3</c:v>
                </c:pt>
                <c:pt idx="12">
                  <c:v>3.7396121883656513E-2</c:v>
                </c:pt>
                <c:pt idx="13">
                  <c:v>8.3102493074792803E-3</c:v>
                </c:pt>
                <c:pt idx="14">
                  <c:v>1.2465373961218841E-2</c:v>
                </c:pt>
                <c:pt idx="15">
                  <c:v>3.3240997229917045E-2</c:v>
                </c:pt>
                <c:pt idx="16">
                  <c:v>1.9390581717451637E-2</c:v>
                </c:pt>
                <c:pt idx="17">
                  <c:v>1.6620498614958571E-2</c:v>
                </c:pt>
                <c:pt idx="18">
                  <c:v>5.1246537396121894E-2</c:v>
                </c:pt>
                <c:pt idx="19">
                  <c:v>0</c:v>
                </c:pt>
              </c:numCache>
            </c:numRef>
          </c:val>
        </c:ser>
        <c:dLbls>
          <c:showVal val="1"/>
        </c:dLbls>
        <c:gapWidth val="267"/>
        <c:overlap val="-43"/>
        <c:axId val="287827840"/>
        <c:axId val="287829376"/>
      </c:barChart>
      <c:catAx>
        <c:axId val="287827840"/>
        <c:scaling>
          <c:orientation val="minMax"/>
        </c:scaling>
        <c:axPos val="b"/>
        <c:majorGridlines>
          <c:spPr>
            <a:ln w="9525" cap="flat" cmpd="sng" algn="ctr">
              <a:solidFill>
                <a:schemeClr val="dk1">
                  <a:lumMod val="15000"/>
                  <a:lumOff val="85000"/>
                </a:schemeClr>
              </a:solidFill>
              <a:round/>
            </a:ln>
            <a:effectLst/>
          </c:spPr>
        </c:majorGridlines>
        <c:numFmt formatCode="General" sourceLinked="1"/>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7829376"/>
        <c:crosses val="autoZero"/>
        <c:auto val="1"/>
        <c:lblAlgn val="ctr"/>
        <c:lblOffset val="100"/>
      </c:catAx>
      <c:valAx>
        <c:axId val="287829376"/>
        <c:scaling>
          <c:orientation val="minMax"/>
        </c:scaling>
        <c:axPos val="l"/>
        <c:majorGridlines>
          <c:spPr>
            <a:ln w="9525" cap="flat" cmpd="sng" algn="ctr">
              <a:solidFill>
                <a:schemeClr val="dk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7827840"/>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chart>
  <c:spPr>
    <a:solidFill>
      <a:schemeClr val="lt1"/>
    </a:solidFill>
    <a:ln w="9525" cap="flat" cmpd="sng" algn="ctr">
      <a:noFill/>
      <a:round/>
    </a:ln>
    <a:effectLst/>
  </c:spPr>
  <c:txPr>
    <a:bodyPr/>
    <a:lstStyle/>
    <a:p>
      <a:pPr>
        <a:defRPr/>
      </a:pPr>
      <a:endParaRPr lang="pl-PL"/>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lang val="pl-PL"/>
  <c:style val="3"/>
  <c:chart>
    <c:autoTitleDeleted val="1"/>
    <c:plotArea>
      <c:layout/>
      <c:lineChart>
        <c:grouping val="standard"/>
        <c:ser>
          <c:idx val="1"/>
          <c:order val="0"/>
          <c:tx>
            <c:strRef>
              <c:f>Charakterystyka!$V$103</c:f>
              <c:strCache>
                <c:ptCount val="1"/>
                <c:pt idx="0">
                  <c:v>Prognoza zarejestrowanych podmiotów gospodarczych</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12"/>
                <c:pt idx="0">
                  <c:v>2009</c:v>
                </c:pt>
                <c:pt idx="1">
                  <c:v>2010</c:v>
                </c:pt>
                <c:pt idx="2">
                  <c:v>2011</c:v>
                </c:pt>
                <c:pt idx="3">
                  <c:v>2012</c:v>
                </c:pt>
                <c:pt idx="4">
                  <c:v>2013</c:v>
                </c:pt>
                <c:pt idx="5">
                  <c:v>2014</c:v>
                </c:pt>
                <c:pt idx="6">
                  <c:v>2015</c:v>
                </c:pt>
                <c:pt idx="7">
                  <c:v>2016</c:v>
                </c:pt>
                <c:pt idx="8">
                  <c:v>2017</c:v>
                </c:pt>
                <c:pt idx="9">
                  <c:v>2018</c:v>
                </c:pt>
                <c:pt idx="10">
                  <c:v>2019</c:v>
                </c:pt>
                <c:pt idx="11">
                  <c:v>2020</c:v>
                </c:pt>
              </c:numCache>
              <c:extLst/>
            </c:numRef>
          </c:cat>
          <c:val>
            <c:numRef>
              <c:f>(Charakterystyka!$C$106:$O$106,Charakterystyka!$P$105,Charakterystyka!$X$105:$AD$105)</c:f>
              <c:numCache>
                <c:formatCode>General</c:formatCode>
                <c:ptCount val="12"/>
                <c:pt idx="4" formatCode="#,##0">
                  <c:v>722</c:v>
                </c:pt>
                <c:pt idx="5" formatCode="#,##0">
                  <c:v>756</c:v>
                </c:pt>
                <c:pt idx="6" formatCode="#,##0">
                  <c:v>792</c:v>
                </c:pt>
                <c:pt idx="7" formatCode="#,##0">
                  <c:v>829</c:v>
                </c:pt>
                <c:pt idx="8" formatCode="#,##0">
                  <c:v>868</c:v>
                </c:pt>
                <c:pt idx="9" formatCode="#,##0">
                  <c:v>909</c:v>
                </c:pt>
                <c:pt idx="10" formatCode="#,##0">
                  <c:v>952</c:v>
                </c:pt>
                <c:pt idx="11" formatCode="#,##0">
                  <c:v>997</c:v>
                </c:pt>
              </c:numCache>
              <c:extLst/>
            </c:numRef>
          </c:val>
          <c:smooth val="1"/>
        </c:ser>
        <c:ser>
          <c:idx val="0"/>
          <c:order val="1"/>
          <c:tx>
            <c:strRef>
              <c:f>Charakterystyka!$B$103</c:f>
              <c:strCache>
                <c:ptCount val="1"/>
                <c:pt idx="0">
                  <c:v>Zarejestrowane podmioty gospodarcze</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12"/>
                <c:pt idx="0">
                  <c:v>2009</c:v>
                </c:pt>
                <c:pt idx="1">
                  <c:v>2010</c:v>
                </c:pt>
                <c:pt idx="2">
                  <c:v>2011</c:v>
                </c:pt>
                <c:pt idx="3">
                  <c:v>2012</c:v>
                </c:pt>
                <c:pt idx="4">
                  <c:v>2013</c:v>
                </c:pt>
                <c:pt idx="5">
                  <c:v>2014</c:v>
                </c:pt>
                <c:pt idx="6">
                  <c:v>2015</c:v>
                </c:pt>
                <c:pt idx="7">
                  <c:v>2016</c:v>
                </c:pt>
                <c:pt idx="8">
                  <c:v>2017</c:v>
                </c:pt>
                <c:pt idx="9">
                  <c:v>2018</c:v>
                </c:pt>
                <c:pt idx="10">
                  <c:v>2019</c:v>
                </c:pt>
                <c:pt idx="11">
                  <c:v>2020</c:v>
                </c:pt>
              </c:numCache>
              <c:extLst/>
            </c:numRef>
          </c:cat>
          <c:val>
            <c:numRef>
              <c:f>Charakterystyka!$C$105:$P$105</c:f>
              <c:numCache>
                <c:formatCode>#,##0</c:formatCode>
                <c:ptCount val="5"/>
                <c:pt idx="0">
                  <c:v>572</c:v>
                </c:pt>
                <c:pt idx="1">
                  <c:v>627</c:v>
                </c:pt>
                <c:pt idx="2">
                  <c:v>631</c:v>
                </c:pt>
                <c:pt idx="3">
                  <c:v>670</c:v>
                </c:pt>
                <c:pt idx="4">
                  <c:v>722</c:v>
                </c:pt>
              </c:numCache>
              <c:extLst/>
            </c:numRef>
          </c:val>
          <c:smooth val="1"/>
        </c:ser>
        <c:dLbls/>
        <c:marker val="1"/>
        <c:axId val="287883264"/>
        <c:axId val="287884800"/>
      </c:lineChart>
      <c:catAx>
        <c:axId val="287883264"/>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884800"/>
        <c:crosses val="autoZero"/>
        <c:auto val="1"/>
        <c:lblAlgn val="ctr"/>
        <c:lblOffset val="100"/>
      </c:catAx>
      <c:valAx>
        <c:axId val="287884800"/>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7883264"/>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lang val="pl-PL"/>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pl-PL"/>
              <a:t>Struktura paliw w</a:t>
            </a:r>
            <a:r>
              <a:rPr lang="pl-PL" baseline="0"/>
              <a:t>ykorzystywanych na potrzeby cieplne</a:t>
            </a:r>
          </a:p>
        </c:rich>
      </c:tx>
      <c:spPr>
        <a:noFill/>
        <a:ln>
          <a:noFill/>
        </a:ln>
        <a:effectLst/>
      </c:spPr>
    </c:title>
    <c:plotArea>
      <c:layout/>
      <c:pieChart>
        <c:varyColors val="1"/>
        <c:ser>
          <c:idx val="0"/>
          <c:order val="0"/>
          <c:dPt>
            <c:idx val="0"/>
            <c:spPr>
              <a:solidFill>
                <a:schemeClr val="accent6"/>
              </a:solidFill>
              <a:ln>
                <a:noFill/>
              </a:ln>
              <a:effectLst/>
            </c:spPr>
          </c:dPt>
          <c:dPt>
            <c:idx val="1"/>
            <c:spPr>
              <a:solidFill>
                <a:schemeClr val="accent5"/>
              </a:solidFill>
              <a:ln>
                <a:noFill/>
              </a:ln>
              <a:effectLst/>
            </c:spPr>
          </c:dPt>
          <c:dPt>
            <c:idx val="2"/>
            <c:spPr>
              <a:solidFill>
                <a:schemeClr val="accent4"/>
              </a:solidFill>
              <a:ln>
                <a:noFill/>
              </a:ln>
              <a:effectLst/>
            </c:spPr>
          </c:dPt>
          <c:dPt>
            <c:idx val="3"/>
            <c:spPr>
              <a:solidFill>
                <a:schemeClr val="accent6">
                  <a:lumMod val="60000"/>
                </a:schemeClr>
              </a:solidFill>
              <a:ln>
                <a:noFill/>
              </a:ln>
              <a:effectLst/>
            </c:spPr>
          </c:dPt>
          <c:dLbls>
            <c:dLbl>
              <c:idx val="0"/>
              <c:layout>
                <c:manualLayout>
                  <c:x val="2.1831845238095414E-2"/>
                  <c:y val="8.7265917602996255E-4"/>
                </c:manualLayout>
              </c:layout>
              <c:showPercent val="1"/>
              <c:extLst>
                <c:ext xmlns:c15="http://schemas.microsoft.com/office/drawing/2012/chart" uri="{CE6537A1-D6FC-4f65-9D91-7224C49458BB}"/>
              </c:extLst>
            </c:dLbl>
            <c:dLbl>
              <c:idx val="2"/>
              <c:layout>
                <c:manualLayout>
                  <c:x val="1.1119742063492059E-2"/>
                  <c:y val="-2.1772784019975032E-2"/>
                </c:manualLayout>
              </c:layout>
              <c:showPercent val="1"/>
              <c:extLst>
                <c:ext xmlns:c15="http://schemas.microsoft.com/office/drawing/2012/chart" uri="{CE6537A1-D6FC-4f65-9D91-7224C49458BB}"/>
              </c:extLst>
            </c:dLbl>
            <c:dLbl>
              <c:idx val="3"/>
              <c:layout>
                <c:manualLayout>
                  <c:x val="-3.6124900793650792E-2"/>
                  <c:y val="6.2840199750312112E-3"/>
                </c:manualLayout>
              </c:layout>
              <c:showPercent val="1"/>
              <c:extLs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Percent val="1"/>
            <c:showLeaderLines val="1"/>
            <c:leaderLines>
              <c:spPr>
                <a:ln w="9525" cap="flat" cmpd="sng" algn="ctr">
                  <a:solidFill>
                    <a:schemeClr val="tx1"/>
                  </a:solidFill>
                  <a:prstDash val="solid"/>
                  <a:round/>
                </a:ln>
                <a:effectLst/>
              </c:spPr>
            </c:leaderLines>
            <c:extLst>
              <c:ext xmlns:c15="http://schemas.microsoft.com/office/drawing/2012/chart" uri="{CE6537A1-D6FC-4f65-9D91-7224C49458BB}"/>
            </c:extLst>
          </c:dLbls>
          <c:cat>
            <c:strRef>
              <c:f>Ciepło!$B$5:$B$8</c:f>
              <c:strCache>
                <c:ptCount val="4"/>
                <c:pt idx="0">
                  <c:v>paliwa stałe</c:v>
                </c:pt>
                <c:pt idx="1">
                  <c:v>olej opałowy</c:v>
                </c:pt>
                <c:pt idx="2">
                  <c:v>en. elektryczna</c:v>
                </c:pt>
                <c:pt idx="3">
                  <c:v>biomasa*</c:v>
                </c:pt>
              </c:strCache>
            </c:strRef>
          </c:cat>
          <c:val>
            <c:numRef>
              <c:f>Ciepło!$C$5:$C$8</c:f>
              <c:numCache>
                <c:formatCode>0.00%</c:formatCode>
                <c:ptCount val="4"/>
                <c:pt idx="0">
                  <c:v>0.65000000000000224</c:v>
                </c:pt>
                <c:pt idx="1">
                  <c:v>7.0000000000000021E-2</c:v>
                </c:pt>
                <c:pt idx="2">
                  <c:v>0.25700000000000001</c:v>
                </c:pt>
                <c:pt idx="3">
                  <c:v>2.3E-2</c:v>
                </c:pt>
              </c:numCache>
            </c:numRef>
          </c:val>
        </c:ser>
        <c:dLbls>
          <c:showPercent val="1"/>
        </c:dLbls>
        <c:firstSliceAng val="0"/>
      </c:pieChart>
      <c:spPr>
        <a:noFill/>
        <a:ln>
          <a:noFill/>
        </a:ln>
        <a:effectLst/>
      </c:spPr>
    </c:plotArea>
    <c:legend>
      <c:legendPos val="r"/>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zero"/>
  </c:chart>
  <c:spPr>
    <a:solidFill>
      <a:schemeClr val="bg1"/>
    </a:solidFill>
    <a:ln w="9525" cap="flat" cmpd="sng" algn="ctr">
      <a:solidFill>
        <a:schemeClr val="tx1">
          <a:tint val="75000"/>
        </a:schemeClr>
      </a:solidFill>
      <a:prstDash val="solid"/>
      <a:round/>
    </a:ln>
    <a:effectLst/>
  </c:spPr>
  <c:txPr>
    <a:bodyPr/>
    <a:lstStyle/>
    <a:p>
      <a:pPr>
        <a:defRPr/>
      </a:pPr>
      <a:endParaRPr lang="pl-PL"/>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lang val="pl-PL"/>
  <c:chart>
    <c:autoTitleDeleted val="1"/>
    <c:plotArea>
      <c:layout/>
      <c:pieChart>
        <c:varyColors val="1"/>
        <c:ser>
          <c:idx val="0"/>
          <c:order val="0"/>
          <c:explosion val="25"/>
          <c:dPt>
            <c:idx val="0"/>
            <c:spPr>
              <a:ln>
                <a:solidFill>
                  <a:sysClr val="windowText" lastClr="000000"/>
                </a:solidFill>
              </a:ln>
            </c:spPr>
          </c:dPt>
          <c:dPt>
            <c:idx val="1"/>
            <c:spPr>
              <a:solidFill>
                <a:srgbClr val="FFFF00"/>
              </a:solidFill>
              <a:ln>
                <a:solidFill>
                  <a:sysClr val="windowText" lastClr="000000"/>
                </a:solidFill>
              </a:ln>
            </c:spPr>
          </c:dPt>
          <c:dPt>
            <c:idx val="2"/>
            <c:spPr>
              <a:ln>
                <a:solidFill>
                  <a:sysClr val="windowText" lastClr="000000"/>
                </a:solidFill>
              </a:ln>
            </c:spPr>
          </c:dPt>
          <c:dPt>
            <c:idx val="3"/>
            <c:spPr>
              <a:ln>
                <a:solidFill>
                  <a:sysClr val="windowText" lastClr="000000"/>
                </a:solidFill>
              </a:ln>
            </c:spPr>
          </c:dPt>
          <c:dLbls>
            <c:showPercent val="1"/>
          </c:dLbls>
          <c:cat>
            <c:strRef>
              <c:f>Arkusz1!$B$3:$B$6</c:f>
              <c:strCache>
                <c:ptCount val="4"/>
                <c:pt idx="0">
                  <c:v>wydobycie krajowe</c:v>
                </c:pt>
                <c:pt idx="1">
                  <c:v>import z Rosji, Azerbejdżanu i krajów środkowoazjatyckich</c:v>
                </c:pt>
                <c:pt idx="2">
                  <c:v>Niemcy</c:v>
                </c:pt>
                <c:pt idx="3">
                  <c:v>Czechy</c:v>
                </c:pt>
              </c:strCache>
            </c:strRef>
          </c:cat>
          <c:val>
            <c:numRef>
              <c:f>Arkusz1!$C$3:$C$6</c:f>
              <c:numCache>
                <c:formatCode>General</c:formatCode>
                <c:ptCount val="4"/>
                <c:pt idx="0">
                  <c:v>27.439999999999987</c:v>
                </c:pt>
                <c:pt idx="1">
                  <c:v>55.96</c:v>
                </c:pt>
                <c:pt idx="2">
                  <c:v>13.2</c:v>
                </c:pt>
                <c:pt idx="3">
                  <c:v>3.4</c:v>
                </c:pt>
              </c:numCache>
            </c:numRef>
          </c:val>
        </c:ser>
        <c:dLbls>
          <c:showPercent val="1"/>
        </c:dLbls>
        <c:firstSliceAng val="0"/>
      </c:pieChart>
    </c:plotArea>
    <c:legend>
      <c:legendPos val="r"/>
      <c:txPr>
        <a:bodyPr/>
        <a:lstStyle/>
        <a:p>
          <a:pPr>
            <a:defRPr sz="1050">
              <a:latin typeface="Georgia" panose="02040502050405020303" pitchFamily="18" charset="0"/>
            </a:defRPr>
          </a:pPr>
          <a:endParaRPr lang="pl-PL"/>
        </a:p>
      </c:txPr>
    </c:legend>
    <c:plotVisOnly val="1"/>
    <c:dispBlanksAs val="zero"/>
  </c:chart>
  <c:spPr>
    <a:ln>
      <a:noFill/>
    </a:ln>
  </c:sp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lang val="pl-PL"/>
  <c:chart>
    <c:plotArea>
      <c:layout/>
      <c:lineChart>
        <c:grouping val="standard"/>
        <c:ser>
          <c:idx val="0"/>
          <c:order val="0"/>
          <c:tx>
            <c:strRef>
              <c:f>Arkusz1!$C$2</c:f>
              <c:strCache>
                <c:ptCount val="1"/>
                <c:pt idx="0">
                  <c:v>WARIANT I</c:v>
                </c:pt>
              </c:strCache>
            </c:strRef>
          </c:tx>
          <c:marker>
            <c:symbol val="none"/>
          </c:marker>
          <c:cat>
            <c:numRef>
              <c:f>Arkusz1!$B$5:$B$21</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cat>
          <c:val>
            <c:numRef>
              <c:f>Arkusz1!$C$5:$C$16</c:f>
              <c:numCache>
                <c:formatCode>0.00</c:formatCode>
                <c:ptCount val="12"/>
                <c:pt idx="0">
                  <c:v>144535.93</c:v>
                </c:pt>
                <c:pt idx="1">
                  <c:v>145258.60965</c:v>
                </c:pt>
                <c:pt idx="2">
                  <c:v>145984.9026982495</c:v>
                </c:pt>
                <c:pt idx="3">
                  <c:v>146714.82721174098</c:v>
                </c:pt>
                <c:pt idx="4">
                  <c:v>147448.40134779995</c:v>
                </c:pt>
                <c:pt idx="5">
                  <c:v>148185.64335453944</c:v>
                </c:pt>
                <c:pt idx="6">
                  <c:v>148926.57157131171</c:v>
                </c:pt>
                <c:pt idx="7">
                  <c:v>149671.20442916831</c:v>
                </c:pt>
                <c:pt idx="8">
                  <c:v>150419.56045131403</c:v>
                </c:pt>
                <c:pt idx="9">
                  <c:v>151171.65825357061</c:v>
                </c:pt>
                <c:pt idx="10">
                  <c:v>151927.51654483881</c:v>
                </c:pt>
                <c:pt idx="11">
                  <c:v>152687.15412756271</c:v>
                </c:pt>
              </c:numCache>
            </c:numRef>
          </c:val>
        </c:ser>
        <c:ser>
          <c:idx val="1"/>
          <c:order val="1"/>
          <c:tx>
            <c:strRef>
              <c:f>Arkusz1!$D$2</c:f>
              <c:strCache>
                <c:ptCount val="1"/>
                <c:pt idx="0">
                  <c:v>WARIANT II</c:v>
                </c:pt>
              </c:strCache>
            </c:strRef>
          </c:tx>
          <c:marker>
            <c:symbol val="none"/>
          </c:marker>
          <c:cat>
            <c:numRef>
              <c:f>Arkusz1!$B$5:$B$21</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cat>
          <c:val>
            <c:numRef>
              <c:f>Arkusz1!$D$5:$D$16</c:f>
              <c:numCache>
                <c:formatCode>0.00</c:formatCode>
                <c:ptCount val="12"/>
                <c:pt idx="0">
                  <c:v>144535.93</c:v>
                </c:pt>
                <c:pt idx="1">
                  <c:v>145981.2893</c:v>
                </c:pt>
                <c:pt idx="2">
                  <c:v>147441.102193</c:v>
                </c:pt>
                <c:pt idx="3">
                  <c:v>148915.51321492999</c:v>
                </c:pt>
                <c:pt idx="4">
                  <c:v>150404.66834707931</c:v>
                </c:pt>
                <c:pt idx="5">
                  <c:v>151908.71503055011</c:v>
                </c:pt>
                <c:pt idx="6">
                  <c:v>153427.80218085559</c:v>
                </c:pt>
                <c:pt idx="7">
                  <c:v>154962.08020266402</c:v>
                </c:pt>
                <c:pt idx="8">
                  <c:v>156511.70100469078</c:v>
                </c:pt>
                <c:pt idx="9">
                  <c:v>158076.81801473771</c:v>
                </c:pt>
                <c:pt idx="10">
                  <c:v>159657.58619488508</c:v>
                </c:pt>
                <c:pt idx="11">
                  <c:v>161254.16205683394</c:v>
                </c:pt>
              </c:numCache>
            </c:numRef>
          </c:val>
        </c:ser>
        <c:ser>
          <c:idx val="2"/>
          <c:order val="2"/>
          <c:tx>
            <c:strRef>
              <c:f>Arkusz1!$E$2</c:f>
              <c:strCache>
                <c:ptCount val="1"/>
                <c:pt idx="0">
                  <c:v>WARIANT III</c:v>
                </c:pt>
              </c:strCache>
            </c:strRef>
          </c:tx>
          <c:marker>
            <c:symbol val="none"/>
          </c:marker>
          <c:cat>
            <c:numRef>
              <c:f>Arkusz1!$B$5:$B$21</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cat>
          <c:val>
            <c:numRef>
              <c:f>Arkusz1!$E$5:$E$16</c:f>
              <c:numCache>
                <c:formatCode>0.00</c:formatCode>
                <c:ptCount val="12"/>
                <c:pt idx="0">
                  <c:v>144535.93</c:v>
                </c:pt>
                <c:pt idx="1">
                  <c:v>147426.64859999999</c:v>
                </c:pt>
                <c:pt idx="2">
                  <c:v>150375.18157199968</c:v>
                </c:pt>
                <c:pt idx="3">
                  <c:v>153382.68520343996</c:v>
                </c:pt>
                <c:pt idx="4">
                  <c:v>156450.33890750876</c:v>
                </c:pt>
                <c:pt idx="5">
                  <c:v>159579.34568565901</c:v>
                </c:pt>
                <c:pt idx="6">
                  <c:v>162770.93259937208</c:v>
                </c:pt>
                <c:pt idx="7">
                  <c:v>166026.35125135948</c:v>
                </c:pt>
                <c:pt idx="8">
                  <c:v>169346.87827638676</c:v>
                </c:pt>
                <c:pt idx="9">
                  <c:v>172733.81584191512</c:v>
                </c:pt>
                <c:pt idx="10">
                  <c:v>176188.49215875281</c:v>
                </c:pt>
                <c:pt idx="11">
                  <c:v>179712.26200192817</c:v>
                </c:pt>
              </c:numCache>
            </c:numRef>
          </c:val>
        </c:ser>
        <c:dLbls/>
        <c:marker val="1"/>
        <c:axId val="288269824"/>
        <c:axId val="288271360"/>
      </c:lineChart>
      <c:catAx>
        <c:axId val="288269824"/>
        <c:scaling>
          <c:orientation val="minMax"/>
        </c:scaling>
        <c:axPos val="b"/>
        <c:numFmt formatCode="General" sourceLinked="1"/>
        <c:tickLblPos val="nextTo"/>
        <c:crossAx val="288271360"/>
        <c:crosses val="autoZero"/>
        <c:auto val="1"/>
        <c:lblAlgn val="ctr"/>
        <c:lblOffset val="100"/>
      </c:catAx>
      <c:valAx>
        <c:axId val="288271360"/>
        <c:scaling>
          <c:orientation val="minMax"/>
          <c:min val="100000"/>
        </c:scaling>
        <c:axPos val="l"/>
        <c:majorGridlines/>
        <c:numFmt formatCode="0.00" sourceLinked="1"/>
        <c:tickLblPos val="nextTo"/>
        <c:crossAx val="288269824"/>
        <c:crosses val="autoZero"/>
        <c:crossBetween val="between"/>
      </c:valAx>
    </c:plotArea>
    <c:legend>
      <c:legendPos val="r"/>
    </c:legend>
    <c:plotVisOnly val="1"/>
    <c:dispBlanksAs val="gap"/>
  </c:chart>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lang val="pl-PL"/>
  <c:chart>
    <c:view3D>
      <c:rAngAx val="1"/>
    </c:view3D>
    <c:plotArea>
      <c:layout/>
      <c:bar3DChart>
        <c:barDir val="bar"/>
        <c:grouping val="clustered"/>
        <c:ser>
          <c:idx val="3"/>
          <c:order val="0"/>
          <c:tx>
            <c:strRef>
              <c:f>Arkusz2!$G$17</c:f>
              <c:strCache>
                <c:ptCount val="1"/>
                <c:pt idx="0">
                  <c:v>2030</c:v>
                </c:pt>
              </c:strCache>
            </c:strRef>
          </c:tx>
          <c:cat>
            <c:multiLvlStrRef>
              <c:f>Arkusz2!$B$18:$C$20</c:f>
              <c:multiLvlStrCache>
                <c:ptCount val="3"/>
                <c:lvl>
                  <c:pt idx="0">
                    <c:v>USD/boe</c:v>
                  </c:pt>
                  <c:pt idx="1">
                    <c:v>USD/boe</c:v>
                  </c:pt>
                  <c:pt idx="2">
                    <c:v>USD/boe</c:v>
                  </c:pt>
                </c:lvl>
                <c:lvl>
                  <c:pt idx="0">
                    <c:v>Ropa naftowa</c:v>
                  </c:pt>
                  <c:pt idx="1">
                    <c:v>Gaz ziemny</c:v>
                  </c:pt>
                  <c:pt idx="2">
                    <c:v>Węgiel kamienny</c:v>
                  </c:pt>
                </c:lvl>
              </c:multiLvlStrCache>
            </c:multiLvlStrRef>
          </c:cat>
          <c:val>
            <c:numRef>
              <c:f>Arkusz2!$G$18:$G$20</c:f>
              <c:numCache>
                <c:formatCode>General</c:formatCode>
                <c:ptCount val="3"/>
                <c:pt idx="0" formatCode="0.0">
                  <c:v>110</c:v>
                </c:pt>
                <c:pt idx="1">
                  <c:v>77.599999999999994</c:v>
                </c:pt>
                <c:pt idx="2">
                  <c:v>24.1</c:v>
                </c:pt>
              </c:numCache>
            </c:numRef>
          </c:val>
        </c:ser>
        <c:ser>
          <c:idx val="2"/>
          <c:order val="1"/>
          <c:tx>
            <c:strRef>
              <c:f>Arkusz2!$F$17</c:f>
              <c:strCache>
                <c:ptCount val="1"/>
                <c:pt idx="0">
                  <c:v>2025</c:v>
                </c:pt>
              </c:strCache>
            </c:strRef>
          </c:tx>
          <c:cat>
            <c:multiLvlStrRef>
              <c:f>Arkusz2!$B$18:$C$20</c:f>
              <c:multiLvlStrCache>
                <c:ptCount val="3"/>
                <c:lvl>
                  <c:pt idx="0">
                    <c:v>USD/boe</c:v>
                  </c:pt>
                  <c:pt idx="1">
                    <c:v>USD/boe</c:v>
                  </c:pt>
                  <c:pt idx="2">
                    <c:v>USD/boe</c:v>
                  </c:pt>
                </c:lvl>
                <c:lvl>
                  <c:pt idx="0">
                    <c:v>Ropa naftowa</c:v>
                  </c:pt>
                  <c:pt idx="1">
                    <c:v>Gaz ziemny</c:v>
                  </c:pt>
                  <c:pt idx="2">
                    <c:v>Węgiel kamienny</c:v>
                  </c:pt>
                </c:lvl>
              </c:multiLvlStrCache>
            </c:multiLvlStrRef>
          </c:cat>
          <c:val>
            <c:numRef>
              <c:f>Arkusz2!$F$18:$F$20</c:f>
              <c:numCache>
                <c:formatCode>0.0</c:formatCode>
                <c:ptCount val="3"/>
                <c:pt idx="0">
                  <c:v>105</c:v>
                </c:pt>
                <c:pt idx="1">
                  <c:v>74</c:v>
                </c:pt>
                <c:pt idx="2" formatCode="General">
                  <c:v>23.8</c:v>
                </c:pt>
              </c:numCache>
            </c:numRef>
          </c:val>
        </c:ser>
        <c:ser>
          <c:idx val="1"/>
          <c:order val="2"/>
          <c:tx>
            <c:strRef>
              <c:f>Arkusz2!$E$17</c:f>
              <c:strCache>
                <c:ptCount val="1"/>
                <c:pt idx="0">
                  <c:v>2020</c:v>
                </c:pt>
              </c:strCache>
            </c:strRef>
          </c:tx>
          <c:cat>
            <c:multiLvlStrRef>
              <c:f>Arkusz2!$B$18:$C$20</c:f>
              <c:multiLvlStrCache>
                <c:ptCount val="3"/>
                <c:lvl>
                  <c:pt idx="0">
                    <c:v>USD/boe</c:v>
                  </c:pt>
                  <c:pt idx="1">
                    <c:v>USD/boe</c:v>
                  </c:pt>
                  <c:pt idx="2">
                    <c:v>USD/boe</c:v>
                  </c:pt>
                </c:lvl>
                <c:lvl>
                  <c:pt idx="0">
                    <c:v>Ropa naftowa</c:v>
                  </c:pt>
                  <c:pt idx="1">
                    <c:v>Gaz ziemny</c:v>
                  </c:pt>
                  <c:pt idx="2">
                    <c:v>Węgiel kamienny</c:v>
                  </c:pt>
                </c:lvl>
              </c:multiLvlStrCache>
            </c:multiLvlStrRef>
          </c:cat>
          <c:val>
            <c:numRef>
              <c:f>Arkusz2!$E$18:$E$20</c:f>
              <c:numCache>
                <c:formatCode>General</c:formatCode>
                <c:ptCount val="3"/>
                <c:pt idx="0" formatCode="0.0">
                  <c:v>99</c:v>
                </c:pt>
                <c:pt idx="1">
                  <c:v>69.8</c:v>
                </c:pt>
                <c:pt idx="2">
                  <c:v>23.2</c:v>
                </c:pt>
              </c:numCache>
            </c:numRef>
          </c:val>
        </c:ser>
        <c:ser>
          <c:idx val="0"/>
          <c:order val="3"/>
          <c:tx>
            <c:strRef>
              <c:f>Arkusz2!$D$17</c:f>
              <c:strCache>
                <c:ptCount val="1"/>
                <c:pt idx="0">
                  <c:v>2015</c:v>
                </c:pt>
              </c:strCache>
            </c:strRef>
          </c:tx>
          <c:cat>
            <c:multiLvlStrRef>
              <c:f>Arkusz2!$B$18:$C$20</c:f>
              <c:multiLvlStrCache>
                <c:ptCount val="3"/>
                <c:lvl>
                  <c:pt idx="0">
                    <c:v>USD/boe</c:v>
                  </c:pt>
                  <c:pt idx="1">
                    <c:v>USD/boe</c:v>
                  </c:pt>
                  <c:pt idx="2">
                    <c:v>USD/boe</c:v>
                  </c:pt>
                </c:lvl>
                <c:lvl>
                  <c:pt idx="0">
                    <c:v>Ropa naftowa</c:v>
                  </c:pt>
                  <c:pt idx="1">
                    <c:v>Gaz ziemny</c:v>
                  </c:pt>
                  <c:pt idx="2">
                    <c:v>Węgiel kamienny</c:v>
                  </c:pt>
                </c:lvl>
              </c:multiLvlStrCache>
            </c:multiLvlStrRef>
          </c:cat>
          <c:val>
            <c:numRef>
              <c:f>Arkusz2!$D$18:$D$20</c:f>
              <c:numCache>
                <c:formatCode>General</c:formatCode>
                <c:ptCount val="3"/>
                <c:pt idx="0">
                  <c:v>90.4</c:v>
                </c:pt>
                <c:pt idx="1">
                  <c:v>63.8</c:v>
                </c:pt>
                <c:pt idx="2">
                  <c:v>22.3</c:v>
                </c:pt>
              </c:numCache>
            </c:numRef>
          </c:val>
        </c:ser>
        <c:dLbls/>
        <c:shape val="box"/>
        <c:axId val="285788800"/>
        <c:axId val="288297344"/>
        <c:axId val="0"/>
      </c:bar3DChart>
      <c:catAx>
        <c:axId val="285788800"/>
        <c:scaling>
          <c:orientation val="minMax"/>
        </c:scaling>
        <c:axPos val="l"/>
        <c:numFmt formatCode="General" sourceLinked="1"/>
        <c:tickLblPos val="nextTo"/>
        <c:crossAx val="288297344"/>
        <c:crosses val="autoZero"/>
        <c:auto val="1"/>
        <c:lblAlgn val="ctr"/>
        <c:lblOffset val="100"/>
      </c:catAx>
      <c:valAx>
        <c:axId val="288297344"/>
        <c:scaling>
          <c:orientation val="minMax"/>
        </c:scaling>
        <c:axPos val="b"/>
        <c:majorGridlines/>
        <c:numFmt formatCode="0.0" sourceLinked="1"/>
        <c:tickLblPos val="nextTo"/>
        <c:crossAx val="285788800"/>
        <c:crosses val="autoZero"/>
        <c:crossBetween val="between"/>
      </c:valAx>
    </c:plotArea>
    <c:legend>
      <c:legendPos val="r"/>
    </c:legend>
    <c:plotVisOnly val="1"/>
    <c:dispBlanksAs val="gap"/>
  </c:chart>
  <c:spPr>
    <a:ln>
      <a:noFill/>
    </a:ln>
  </c:spPr>
  <c:externalData r:id="rId1"/>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0B15A09-5202-4D05-A4F9-5B8893F2F7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93</Pages>
  <Words>22537</Words>
  <Characters>135228</Characters>
  <Application>Microsoft Office Word</Application>
  <DocSecurity>0</DocSecurity>
  <Lines>1126</Lines>
  <Paragraphs>314</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157451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Dorota</dc:creator>
  <cp:lastModifiedBy>mal.woz</cp:lastModifiedBy>
  <cp:revision>5</cp:revision>
  <cp:lastPrinted>2015-08-21T06:36:00Z</cp:lastPrinted>
  <dcterms:created xsi:type="dcterms:W3CDTF">2015-08-20T21:07:00Z</dcterms:created>
  <dcterms:modified xsi:type="dcterms:W3CDTF">2015-08-21T06:39:00Z</dcterms:modified>
</cp:coreProperties>
</file>