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center"/>
        <w:rPr>
          <w:rFonts w:ascii="CourierNewPS-BoldMT" w:hAnsi="CourierNewPS-BoldMT" w:cs="CourierNewPS-BoldMT"/>
          <w:b/>
          <w:bCs/>
          <w:sz w:val="28"/>
          <w:szCs w:val="28"/>
        </w:rPr>
      </w:pPr>
      <w:r>
        <w:rPr>
          <w:rFonts w:ascii="CourierNewPS-BoldMT" w:hAnsi="CourierNewPS-BoldMT" w:cs="CourierNewPS-BoldMT"/>
          <w:b/>
          <w:bCs/>
          <w:sz w:val="28"/>
          <w:szCs w:val="28"/>
        </w:rPr>
        <w:t>OPIS TECHNICZNY</w:t>
      </w: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center"/>
        <w:rPr>
          <w:rFonts w:ascii="CourierNewPSMT" w:hAnsi="CourierNewPSMT" w:cs="CourierNewPSMT"/>
          <w:sz w:val="28"/>
          <w:szCs w:val="28"/>
        </w:rPr>
      </w:pPr>
      <w:r>
        <w:rPr>
          <w:rFonts w:ascii="CourierNewPSMT" w:hAnsi="CourierNewPSMT" w:cs="CourierNewPSMT"/>
          <w:sz w:val="28"/>
          <w:szCs w:val="28"/>
        </w:rPr>
        <w:t xml:space="preserve">do projektu zagospodarowania działki nr </w:t>
      </w:r>
      <w:proofErr w:type="spellStart"/>
      <w:r>
        <w:rPr>
          <w:rFonts w:ascii="CourierNewPSMT" w:hAnsi="CourierNewPSMT" w:cs="CourierNewPSMT"/>
          <w:sz w:val="28"/>
          <w:szCs w:val="28"/>
        </w:rPr>
        <w:t>ewid</w:t>
      </w:r>
      <w:proofErr w:type="spellEnd"/>
      <w:r>
        <w:rPr>
          <w:rFonts w:ascii="CourierNewPSMT" w:hAnsi="CourierNewPSMT" w:cs="CourierNewPSMT"/>
          <w:sz w:val="28"/>
          <w:szCs w:val="28"/>
        </w:rPr>
        <w:t>. 755/15</w:t>
      </w: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center"/>
        <w:rPr>
          <w:rFonts w:ascii="CourierNewPSMT" w:hAnsi="CourierNewPSMT" w:cs="CourierNewPSMT"/>
          <w:sz w:val="28"/>
          <w:szCs w:val="28"/>
        </w:rPr>
      </w:pPr>
      <w:r>
        <w:rPr>
          <w:rFonts w:ascii="CourierNewPSMT" w:hAnsi="CourierNewPSMT" w:cs="CourierNewPSMT"/>
          <w:sz w:val="28"/>
          <w:szCs w:val="28"/>
        </w:rPr>
        <w:t>w miejscowości Ruda Strawczyńska gmina Strawczyn</w:t>
      </w: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8"/>
          <w:szCs w:val="28"/>
        </w:rPr>
      </w:pP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sz w:val="24"/>
          <w:szCs w:val="24"/>
        </w:rPr>
      </w:pPr>
      <w:r>
        <w:rPr>
          <w:rFonts w:ascii="CourierNewPS-BoldMT" w:hAnsi="CourierNewPS-BoldMT" w:cs="CourierNewPS-BoldMT"/>
          <w:b/>
          <w:bCs/>
          <w:sz w:val="24"/>
          <w:szCs w:val="24"/>
        </w:rPr>
        <w:t>1. Przedmiot inwestycji;</w:t>
      </w: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Wingdings-Regular" w:eastAsia="Wingdings-Regular" w:hAnsi="CourierNewPS-BoldMT" w:cs="Wingdings-Regular" w:hint="eastAsia"/>
          <w:sz w:val="24"/>
          <w:szCs w:val="24"/>
        </w:rPr>
        <w:t></w:t>
      </w:r>
      <w:r>
        <w:rPr>
          <w:rFonts w:ascii="Wingdings-Regular" w:eastAsia="Wingdings-Regular" w:hAnsi="CourierNewPS-BoldMT" w:cs="Wingdings-Regular"/>
          <w:sz w:val="24"/>
          <w:szCs w:val="24"/>
        </w:rPr>
        <w:t xml:space="preserve"> </w:t>
      </w:r>
      <w:r>
        <w:rPr>
          <w:rFonts w:ascii="CourierNewPSMT" w:hAnsi="CourierNewPSMT" w:cs="CourierNewPSMT"/>
          <w:sz w:val="24"/>
          <w:szCs w:val="24"/>
        </w:rPr>
        <w:t>Przedmiotem inwestycji jest zagospodarowanie terenu działki polegające na wykonaniu utwardzon</w:t>
      </w:r>
      <w:r w:rsidR="00661C51">
        <w:rPr>
          <w:rFonts w:ascii="CourierNewPSMT" w:hAnsi="CourierNewPSMT" w:cs="CourierNewPSMT"/>
          <w:sz w:val="24"/>
          <w:szCs w:val="24"/>
        </w:rPr>
        <w:t>ego</w:t>
      </w:r>
      <w:r>
        <w:rPr>
          <w:rFonts w:ascii="CourierNewPSMT" w:hAnsi="CourierNewPSMT" w:cs="CourierNewPSMT"/>
          <w:sz w:val="24"/>
          <w:szCs w:val="24"/>
        </w:rPr>
        <w:t xml:space="preserve"> ciąg</w:t>
      </w:r>
      <w:r w:rsidR="00661C51">
        <w:rPr>
          <w:rFonts w:ascii="CourierNewPSMT" w:hAnsi="CourierNewPSMT" w:cs="CourierNewPSMT"/>
          <w:sz w:val="24"/>
          <w:szCs w:val="24"/>
        </w:rPr>
        <w:t>u</w:t>
      </w:r>
      <w:r>
        <w:rPr>
          <w:rFonts w:ascii="CourierNewPSMT" w:hAnsi="CourierNewPSMT" w:cs="CourierNewPSMT"/>
          <w:sz w:val="24"/>
          <w:szCs w:val="24"/>
        </w:rPr>
        <w:t xml:space="preserve"> </w:t>
      </w:r>
      <w:r w:rsidR="00661C51">
        <w:rPr>
          <w:rFonts w:ascii="CourierNewPSMT" w:hAnsi="CourierNewPSMT" w:cs="CourierNewPSMT"/>
          <w:sz w:val="24"/>
          <w:szCs w:val="24"/>
        </w:rPr>
        <w:t>pieszego.</w:t>
      </w:r>
    </w:p>
    <w:p w:rsidR="00661C51" w:rsidRDefault="00661C51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Wingdings-Regular" w:eastAsia="Wingdings-Regular" w:hAnsi="CourierNewPS-BoldMT" w:cs="Wingdings-Regular" w:hint="eastAsia"/>
          <w:sz w:val="24"/>
          <w:szCs w:val="24"/>
        </w:rPr>
        <w:t></w:t>
      </w:r>
      <w:r>
        <w:rPr>
          <w:rFonts w:ascii="Wingdings-Regular" w:eastAsia="Wingdings-Regular" w:hAnsi="CourierNewPS-BoldMT" w:cs="Wingdings-Regular"/>
          <w:sz w:val="24"/>
          <w:szCs w:val="24"/>
        </w:rPr>
        <w:t xml:space="preserve"> </w:t>
      </w:r>
      <w:r>
        <w:rPr>
          <w:rFonts w:ascii="CourierNewPSMT" w:hAnsi="CourierNewPSMT" w:cs="CourierNewPSMT"/>
          <w:sz w:val="24"/>
          <w:szCs w:val="24"/>
        </w:rPr>
        <w:t xml:space="preserve">Adres budowy: działka nr </w:t>
      </w:r>
      <w:proofErr w:type="spellStart"/>
      <w:r>
        <w:rPr>
          <w:rFonts w:ascii="CourierNewPSMT" w:hAnsi="CourierNewPSMT" w:cs="CourierNewPSMT"/>
          <w:sz w:val="24"/>
          <w:szCs w:val="24"/>
        </w:rPr>
        <w:t>ewid</w:t>
      </w:r>
      <w:proofErr w:type="spellEnd"/>
      <w:r>
        <w:rPr>
          <w:rFonts w:ascii="CourierNewPSMT" w:hAnsi="CourierNewPSMT" w:cs="CourierNewPSMT"/>
          <w:sz w:val="24"/>
          <w:szCs w:val="24"/>
        </w:rPr>
        <w:t>. 755/15 w miejscowości Ruda</w:t>
      </w: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Strawczyńska, gmina Strawczyn;</w:t>
      </w:r>
    </w:p>
    <w:p w:rsidR="00661C51" w:rsidRDefault="00661C51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F174F4" w:rsidRDefault="00F174F4" w:rsidP="00F174F4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Wingdings-Regular" w:eastAsia="Wingdings-Regular" w:hAnsi="CourierNewPS-BoldMT" w:cs="Wingdings-Regular" w:hint="eastAsia"/>
          <w:sz w:val="24"/>
          <w:szCs w:val="24"/>
        </w:rPr>
        <w:t></w:t>
      </w:r>
      <w:r>
        <w:rPr>
          <w:rFonts w:ascii="Wingdings-Regular" w:eastAsia="Wingdings-Regular" w:hAnsi="CourierNewPS-BoldMT" w:cs="Wingdings-Regular"/>
          <w:sz w:val="24"/>
          <w:szCs w:val="24"/>
        </w:rPr>
        <w:t xml:space="preserve"> </w:t>
      </w:r>
      <w:r>
        <w:rPr>
          <w:rFonts w:ascii="CourierNewPSMT" w:hAnsi="CourierNewPSMT" w:cs="CourierNewPSMT"/>
          <w:sz w:val="24"/>
          <w:szCs w:val="24"/>
        </w:rPr>
        <w:t>Inwestor: Gmina Strawczyn</w:t>
      </w:r>
    </w:p>
    <w:p w:rsidR="00F174F4" w:rsidRDefault="00F174F4" w:rsidP="00F174F4"/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sz w:val="24"/>
          <w:szCs w:val="24"/>
        </w:rPr>
      </w:pPr>
      <w:r>
        <w:rPr>
          <w:rFonts w:ascii="CourierNewPS-BoldMT" w:hAnsi="CourierNewPS-BoldMT" w:cs="CourierNewPS-BoldMT"/>
          <w:b/>
          <w:bCs/>
          <w:sz w:val="24"/>
          <w:szCs w:val="24"/>
        </w:rPr>
        <w:t>2. Istniejący stan zagospodarowania działki;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2.1. Opis terenu: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Działka nr </w:t>
      </w:r>
      <w:proofErr w:type="spellStart"/>
      <w:r>
        <w:rPr>
          <w:rFonts w:ascii="CourierNewPSMT" w:hAnsi="CourierNewPSMT" w:cs="CourierNewPSMT"/>
          <w:sz w:val="24"/>
          <w:szCs w:val="24"/>
        </w:rPr>
        <w:t>ewid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. 755/15 położona w miejscowości Ruda Strawczyńska gm. Strawczyn, ze spadkiem w kierunku południowym. Teren działki jest w istniejącym stanie niezabudowany i nieutwardzony. Działka jest częściowo ogrodzona (ogrodzenie z przęseł betonowych od strony działki nr </w:t>
      </w:r>
      <w:proofErr w:type="spellStart"/>
      <w:r>
        <w:rPr>
          <w:rFonts w:ascii="CourierNewPSMT" w:hAnsi="CourierNewPSMT" w:cs="CourierNewPSMT"/>
          <w:sz w:val="24"/>
          <w:szCs w:val="24"/>
        </w:rPr>
        <w:t>ewid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. 755/11). Działka objęta opracowaniem ma dostęp do drogi o kategorii wojewódzkiej drogi klasy głównej (droga nr 786), poprzez działkę sąsiednią nr </w:t>
      </w:r>
      <w:proofErr w:type="spellStart"/>
      <w:r>
        <w:rPr>
          <w:rFonts w:ascii="CourierNewPSMT" w:hAnsi="CourierNewPSMT" w:cs="CourierNewPSMT"/>
          <w:sz w:val="24"/>
          <w:szCs w:val="24"/>
        </w:rPr>
        <w:t>ewid</w:t>
      </w:r>
      <w:proofErr w:type="spellEnd"/>
      <w:r>
        <w:rPr>
          <w:rFonts w:ascii="CourierNewPSMT" w:hAnsi="CourierNewPSMT" w:cs="CourierNewPSMT"/>
          <w:sz w:val="24"/>
          <w:szCs w:val="24"/>
        </w:rPr>
        <w:t>. 755/11 przy wykorzystaniu istniejącego zjazdu. Zjazd publiczny z drogi wojewódzkiej istniejący, nie wymagający przebudowy.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Teren działki nr </w:t>
      </w:r>
      <w:proofErr w:type="spellStart"/>
      <w:r>
        <w:rPr>
          <w:rFonts w:ascii="CourierNewPSMT" w:hAnsi="CourierNewPSMT" w:cs="CourierNewPSMT"/>
          <w:sz w:val="24"/>
          <w:szCs w:val="24"/>
        </w:rPr>
        <w:t>ewid</w:t>
      </w:r>
      <w:proofErr w:type="spellEnd"/>
      <w:r>
        <w:rPr>
          <w:rFonts w:ascii="CourierNewPSMT" w:hAnsi="CourierNewPSMT" w:cs="CourierNewPSMT"/>
          <w:sz w:val="24"/>
          <w:szCs w:val="24"/>
        </w:rPr>
        <w:t>. 755/15 w miejscowości Ruda Strawczyńska, zgodnie                        z ustaleniami Miejscowego Planu Zagospodarowania Przestrzennego gminy Strawczyn leży częściowo na terenie oznaczonym w Planie symbolem UCX – przeznacza się pod tereny działalności gospodarczej, częściowo na terenie oznaczonym w Planie symbolem MN – tereny zabudowy mieszkaniowej jednorodzinnej, oraz częściowo na terenie oznaczonym w Planie symbolem R – tereny rolnicze.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2.2. Dane charakterystyczne o gruncie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grunty umożliwiające bezpośrednie posadowienie obiektów;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poziom wody gruntowej poniżej poziomu posadowienia;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grunty pochodzenia mineralnego;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klasa bonitacyjna gruntu IV-V;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2.3. Uzbrojenie terenu;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teren działki jest częściowo uzbrojony: energia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elektryczna </w:t>
      </w:r>
      <w:proofErr w:type="spellStart"/>
      <w:r>
        <w:rPr>
          <w:rFonts w:ascii="CourierNewPSMT" w:hAnsi="CourierNewPSMT" w:cs="CourierNewPSMT"/>
          <w:sz w:val="24"/>
          <w:szCs w:val="24"/>
        </w:rPr>
        <w:t>e.n.n</w:t>
      </w:r>
      <w:proofErr w:type="spellEnd"/>
      <w:r>
        <w:rPr>
          <w:rFonts w:ascii="CourierNewPSMT" w:hAnsi="CourierNewPSMT" w:cs="CourierNewPSMT"/>
          <w:sz w:val="24"/>
          <w:szCs w:val="24"/>
        </w:rPr>
        <w:t>. oraz sieć kanalizacji sanitarnej;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w sąsiedztwie przedmiotowej działki występuje sieć wodociągowa;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w sąsiedztwie przedmiotowej działki nie występuje sieć gazowa;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2.4. Istniejące na działce obiekty;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teren działki niezabudowany;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teren działki nieutwardzony;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teren działki częściowo ogrodzony (od strony działki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sąsiedniej nr ewid.755/11) – ogrodzenie do zachowania;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na terenie działki występuje zieleń niska, średnia i wysoka;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-BoldMT" w:hAnsi="CourierNewPS-BoldMT" w:cs="CourierNewPS-BoldMT"/>
          <w:b/>
          <w:bCs/>
          <w:sz w:val="24"/>
          <w:szCs w:val="24"/>
        </w:rPr>
      </w:pPr>
      <w:r>
        <w:rPr>
          <w:rFonts w:ascii="CourierNewPS-BoldMT" w:hAnsi="CourierNewPS-BoldMT" w:cs="CourierNewPS-BoldMT"/>
          <w:b/>
          <w:bCs/>
          <w:sz w:val="24"/>
          <w:szCs w:val="24"/>
        </w:rPr>
        <w:lastRenderedPageBreak/>
        <w:t>3. Projektowane elementy zagospodarowania terenu;</w:t>
      </w:r>
    </w:p>
    <w:p w:rsidR="00C90DD3" w:rsidRDefault="00C90DD3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-BoldMT" w:hAnsi="CourierNewPS-BoldMT" w:cs="CourierNewPS-BoldMT"/>
          <w:b/>
          <w:bCs/>
          <w:sz w:val="24"/>
          <w:szCs w:val="24"/>
        </w:rPr>
      </w:pP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nieobudowana scena widowiskowa;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- przyłącze elektryczne do sceny widowiskowej jako </w:t>
      </w:r>
      <w:proofErr w:type="spellStart"/>
      <w:r>
        <w:rPr>
          <w:rFonts w:ascii="CourierNewPSMT" w:hAnsi="CourierNewPSMT" w:cs="CourierNewPSMT"/>
          <w:sz w:val="24"/>
          <w:szCs w:val="24"/>
        </w:rPr>
        <w:t>podlicznikowe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 z projektowanego budynku świetlicy wiejskiej na działce sąsiedniej;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pojemniki na śmieci z możliwością segregacji;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oświetlenie terenu działki;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układ komunikacyjny wewnętrzny (pieszy i kołowy);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zieleń niska urządzona;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- mała architektura (ławki parkowe, kosze na śmieci, stojak na rowery, miejsce odpoczynku);</w:t>
      </w:r>
    </w:p>
    <w:p w:rsidR="00661C51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</w:p>
    <w:p w:rsidR="00661C51" w:rsidRPr="00C90DD3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Konstrukcję nawierzchni zaprojektowano zgodnie z Rozporządzeniem Ministra Transportu i Gospodarki Morskiej poz. 430 z dnia 2 marca 1999 r. w sprawie warunków technicznych, jakim powinny odpowiadać drogi publiczne i ich </w:t>
      </w:r>
      <w:r w:rsidRPr="00C90DD3">
        <w:rPr>
          <w:rFonts w:ascii="Arial" w:hAnsi="Arial" w:cs="Arial"/>
          <w:sz w:val="24"/>
          <w:szCs w:val="24"/>
        </w:rPr>
        <w:t>usytuowanie (Dziennik Ustaw nr 43 z dnia 14 maja 1999 r.).</w:t>
      </w:r>
    </w:p>
    <w:p w:rsidR="00661C51" w:rsidRPr="00C90DD3" w:rsidRDefault="00661C51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0DD3" w:rsidRPr="00C90DD3" w:rsidRDefault="00C90DD3" w:rsidP="00661C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61C51" w:rsidRPr="00C90DD3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0DD3">
        <w:rPr>
          <w:rFonts w:ascii="Arial" w:hAnsi="Arial" w:cs="Arial"/>
          <w:b/>
          <w:sz w:val="26"/>
          <w:szCs w:val="26"/>
          <w:u w:val="single"/>
        </w:rPr>
        <w:t>Nawierzchnia chodników</w:t>
      </w:r>
      <w:r w:rsidRPr="00C90DD3">
        <w:rPr>
          <w:rFonts w:ascii="Arial" w:hAnsi="Arial" w:cs="Arial"/>
          <w:sz w:val="26"/>
          <w:szCs w:val="26"/>
        </w:rPr>
        <w:t>.</w:t>
      </w:r>
    </w:p>
    <w:p w:rsidR="00661C51" w:rsidRP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sz w:val="24"/>
          <w:szCs w:val="24"/>
        </w:rPr>
      </w:pPr>
      <w:r>
        <w:rPr>
          <w:rFonts w:ascii="Arial" w:eastAsia="Wingdings-Regular" w:hAnsi="Arial" w:cs="Arial"/>
          <w:sz w:val="24"/>
          <w:szCs w:val="24"/>
        </w:rPr>
        <w:t xml:space="preserve">-  </w:t>
      </w:r>
      <w:r w:rsidR="00661C51" w:rsidRPr="00C90DD3">
        <w:rPr>
          <w:rFonts w:ascii="Arial" w:eastAsia="Wingdings-Regular" w:hAnsi="Arial" w:cs="Arial"/>
          <w:sz w:val="24"/>
          <w:szCs w:val="24"/>
        </w:rPr>
        <w:t>warstwa ścieralna z betonowej kostki brukowej 6cm,</w:t>
      </w:r>
    </w:p>
    <w:p w:rsidR="00661C51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  <w:r>
        <w:rPr>
          <w:rFonts w:ascii="Wingdings-Regular" w:eastAsia="Wingdings-Regular" w:cs="Wingdings-Regular" w:hint="eastAsia"/>
          <w:sz w:val="24"/>
          <w:szCs w:val="24"/>
        </w:rPr>
        <w:t></w:t>
      </w:r>
      <w:r>
        <w:rPr>
          <w:rFonts w:ascii="CourierNewPSMT" w:eastAsia="Wingdings-Regular" w:hAnsi="CourierNewPSMT" w:cs="CourierNewPSMT"/>
          <w:sz w:val="24"/>
          <w:szCs w:val="24"/>
        </w:rPr>
        <w:t>podsypka cementowo-piaskowa 1:4 gr. 5 cm,</w:t>
      </w:r>
    </w:p>
    <w:p w:rsidR="00661C51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  <w:r>
        <w:rPr>
          <w:rFonts w:ascii="Wingdings-Regular" w:eastAsia="Wingdings-Regular" w:cs="Wingdings-Regular" w:hint="eastAsia"/>
          <w:sz w:val="24"/>
          <w:szCs w:val="24"/>
        </w:rPr>
        <w:t></w:t>
      </w:r>
      <w:r>
        <w:rPr>
          <w:rFonts w:ascii="CourierNewPSMT" w:eastAsia="Wingdings-Regular" w:hAnsi="CourierNewPSMT" w:cs="CourierNewPSMT"/>
          <w:sz w:val="24"/>
          <w:szCs w:val="24"/>
        </w:rPr>
        <w:t>podbudowa z kruszywa łamanego o ciągłym uziarnieniu</w:t>
      </w:r>
      <w:r w:rsidR="00C90DD3">
        <w:rPr>
          <w:rFonts w:ascii="CourierNewPSMT" w:eastAsia="Wingdings-Regular" w:hAnsi="CourierNewPSMT" w:cs="CourierNewPSMT"/>
          <w:sz w:val="24"/>
          <w:szCs w:val="24"/>
        </w:rPr>
        <w:t xml:space="preserve"> </w:t>
      </w:r>
      <w:r>
        <w:rPr>
          <w:rFonts w:ascii="CourierNewPSMT" w:eastAsia="Wingdings-Regular" w:hAnsi="CourierNewPSMT" w:cs="CourierNewPSMT"/>
          <w:sz w:val="24"/>
          <w:szCs w:val="24"/>
        </w:rPr>
        <w:t>0/31,5mm stabilizowanego mechanicznie grubości 15cm,</w:t>
      </w:r>
    </w:p>
    <w:p w:rsidR="00661C51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  <w:r>
        <w:rPr>
          <w:rFonts w:ascii="Wingdings-Regular" w:eastAsia="Wingdings-Regular" w:cs="Wingdings-Regular" w:hint="eastAsia"/>
          <w:sz w:val="24"/>
          <w:szCs w:val="24"/>
        </w:rPr>
        <w:t></w:t>
      </w:r>
      <w:r>
        <w:rPr>
          <w:rFonts w:ascii="CourierNewPSMT" w:eastAsia="Wingdings-Regular" w:hAnsi="CourierNewPSMT" w:cs="CourierNewPSMT"/>
          <w:sz w:val="24"/>
          <w:szCs w:val="24"/>
        </w:rPr>
        <w:t>wzmocnienie podłoża z piasku stabilizowanego cementem</w:t>
      </w:r>
      <w:r w:rsidR="00C90DD3">
        <w:rPr>
          <w:rFonts w:ascii="CourierNewPSMT" w:eastAsia="Wingdings-Regular" w:hAnsi="CourierNewPSMT" w:cs="CourierNewPSMT"/>
          <w:sz w:val="24"/>
          <w:szCs w:val="24"/>
        </w:rPr>
        <w:t xml:space="preserve"> </w:t>
      </w:r>
      <w:r>
        <w:rPr>
          <w:rFonts w:ascii="CourierNewPSMT" w:eastAsia="Wingdings-Regular" w:hAnsi="CourierNewPSMT" w:cs="CourierNewPSMT"/>
          <w:sz w:val="24"/>
          <w:szCs w:val="24"/>
        </w:rPr>
        <w:t xml:space="preserve">Rm=1,5 </w:t>
      </w:r>
      <w:proofErr w:type="spellStart"/>
      <w:r>
        <w:rPr>
          <w:rFonts w:ascii="CourierNewPSMT" w:eastAsia="Wingdings-Regular" w:hAnsi="CourierNewPSMT" w:cs="CourierNewPSMT"/>
          <w:sz w:val="24"/>
          <w:szCs w:val="24"/>
        </w:rPr>
        <w:t>MPa</w:t>
      </w:r>
      <w:proofErr w:type="spellEnd"/>
      <w:r>
        <w:rPr>
          <w:rFonts w:ascii="CourierNewPSMT" w:eastAsia="Wingdings-Regular" w:hAnsi="CourierNewPSMT" w:cs="CourierNewPSMT"/>
          <w:sz w:val="24"/>
          <w:szCs w:val="24"/>
        </w:rPr>
        <w:t xml:space="preserve"> gr. 10 cm wg PN-S-96012:1997,</w:t>
      </w:r>
    </w:p>
    <w:p w:rsidR="00661C51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  <w:r>
        <w:rPr>
          <w:rFonts w:ascii="Wingdings-Regular" w:eastAsia="Wingdings-Regular" w:cs="Wingdings-Regular" w:hint="eastAsia"/>
          <w:sz w:val="24"/>
          <w:szCs w:val="24"/>
        </w:rPr>
        <w:t></w:t>
      </w:r>
      <w:r>
        <w:rPr>
          <w:rFonts w:ascii="CourierNewPSMT" w:eastAsia="Wingdings-Regular" w:hAnsi="CourierNewPSMT" w:cs="CourierNewPSMT"/>
          <w:sz w:val="24"/>
          <w:szCs w:val="24"/>
        </w:rPr>
        <w:t>podłoże naturalne zagęszczone zgodnie z wymaganiami dla</w:t>
      </w:r>
      <w:r w:rsidR="00C90DD3">
        <w:rPr>
          <w:rFonts w:ascii="CourierNewPSMT" w:eastAsia="Wingdings-Regular" w:hAnsi="CourierNewPSMT" w:cs="CourierNewPSMT"/>
          <w:sz w:val="24"/>
          <w:szCs w:val="24"/>
        </w:rPr>
        <w:t xml:space="preserve"> </w:t>
      </w:r>
      <w:r>
        <w:rPr>
          <w:rFonts w:ascii="CourierNewPSMT" w:eastAsia="Wingdings-Regular" w:hAnsi="CourierNewPSMT" w:cs="CourierNewPSMT"/>
          <w:sz w:val="24"/>
          <w:szCs w:val="24"/>
        </w:rPr>
        <w:t>dróg o ruchu lekkim wg normy PN-S-02205:1998.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6"/>
          <w:szCs w:val="26"/>
        </w:rPr>
      </w:pPr>
    </w:p>
    <w:p w:rsidR="00661C51" w:rsidRPr="00C90DD3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b/>
          <w:sz w:val="26"/>
          <w:szCs w:val="26"/>
          <w:u w:val="single"/>
        </w:rPr>
      </w:pPr>
      <w:r w:rsidRPr="00C90DD3">
        <w:rPr>
          <w:rFonts w:ascii="CourierNewPSMT" w:eastAsia="Wingdings-Regular" w:hAnsi="CourierNewPSMT" w:cs="CourierNewPSMT"/>
          <w:b/>
          <w:sz w:val="26"/>
          <w:szCs w:val="26"/>
          <w:u w:val="single"/>
        </w:rPr>
        <w:t>Obrzeża.</w:t>
      </w:r>
    </w:p>
    <w:p w:rsidR="00661C51" w:rsidRDefault="00661C51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  <w:r>
        <w:rPr>
          <w:rFonts w:ascii="Wingdings-Regular" w:eastAsia="Wingdings-Regular" w:cs="Wingdings-Regular" w:hint="eastAsia"/>
          <w:sz w:val="24"/>
          <w:szCs w:val="24"/>
        </w:rPr>
        <w:t></w:t>
      </w:r>
      <w:r>
        <w:rPr>
          <w:rFonts w:ascii="CourierNewPSMT" w:eastAsia="Wingdings-Regular" w:hAnsi="CourierNewPSMT" w:cs="CourierNewPSMT"/>
          <w:sz w:val="24"/>
          <w:szCs w:val="24"/>
        </w:rPr>
        <w:t>obrzeże betonowe o wymiarach 8x30x100cm na podsypce</w:t>
      </w:r>
      <w:r w:rsidR="00C90DD3">
        <w:rPr>
          <w:rFonts w:ascii="CourierNewPSMT" w:eastAsia="Wingdings-Regular" w:hAnsi="CourierNewPSMT" w:cs="CourierNewPSMT"/>
          <w:sz w:val="24"/>
          <w:szCs w:val="24"/>
        </w:rPr>
        <w:t xml:space="preserve"> </w:t>
      </w:r>
      <w:r>
        <w:rPr>
          <w:rFonts w:ascii="CourierNewPSMT" w:eastAsia="Wingdings-Regular" w:hAnsi="CourierNewPSMT" w:cs="CourierNewPSMT"/>
          <w:sz w:val="24"/>
          <w:szCs w:val="24"/>
        </w:rPr>
        <w:t>cementowo-piaskowej 1:4 gr. 3cm.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eastAsia="Wingdings-Regular" w:hAnsi="CourierNewPSMT" w:cs="CourierNewPSMT"/>
          <w:sz w:val="24"/>
          <w:szCs w:val="24"/>
        </w:rPr>
      </w:pP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sz w:val="24"/>
          <w:szCs w:val="24"/>
        </w:rPr>
      </w:pPr>
      <w:r>
        <w:rPr>
          <w:rFonts w:ascii="CourierNewPS-BoldMT" w:hAnsi="CourierNewPS-BoldMT" w:cs="CourierNewPS-BoldMT"/>
          <w:b/>
          <w:bCs/>
          <w:sz w:val="24"/>
          <w:szCs w:val="24"/>
        </w:rPr>
        <w:t>4. Pozostałe informacje dotyczące terenu inwestycji;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sz w:val="24"/>
          <w:szCs w:val="24"/>
        </w:rPr>
      </w:pP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Realizacja i eksploatacja inwestycji nie może spowodować uszkodzenia drzew                        i krzewów na terenie lokalizacji i terenach przyległych. W przypadku występowania drzew i krzewów na terenie inwestycji, na ich wycięcie lub przesadzenie wymagane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jest oddzielne zezwolenie, zgodnie z wymogami ustawy o ochronie przyrody z dnia 16.04.2004r (Dz.U.Nr92, poz.880 z późniejszymi zmianami).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Przedsięwzięcie inwestycyjne jakim jest budowa sceny widowiskowej                                z zagospodarowaniem terenu nie jest zaliczane do mogących znacząco lub potencjalnie oddziaływać na środowisko dla którego obowiązek opracowania raportu może być ustalony postanowieniem, w rozumieniu Rozporządzenia Rady Ministrów          z dnia 9.11.2004r. w sprawie określenia rodzajów przedsięwzięć mogących znacząco oddziaływać na środowisko oraz szczegółowych uwarunkowań związanych                        z kwalifikowaniem przedsięwzięć do sporządzenia raportu o oddziaływaniu na środowisko (</w:t>
      </w:r>
      <w:proofErr w:type="spellStart"/>
      <w:r>
        <w:rPr>
          <w:rFonts w:ascii="CourierNewPSMT" w:hAnsi="CourierNewPSMT" w:cs="CourierNewPSMT"/>
          <w:sz w:val="24"/>
          <w:szCs w:val="24"/>
        </w:rPr>
        <w:t>Dz.U.Nr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 257 z dnia 03.12.2004r, poz.2573 ze zmianami </w:t>
      </w:r>
      <w:proofErr w:type="spellStart"/>
      <w:r>
        <w:rPr>
          <w:rFonts w:ascii="CourierNewPSMT" w:hAnsi="CourierNewPSMT" w:cs="CourierNewPSMT"/>
          <w:sz w:val="24"/>
          <w:szCs w:val="24"/>
        </w:rPr>
        <w:t>Dz.U.Nr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 92, poz.769 z dnia 24.05.2005r).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 xml:space="preserve">Teren inwestycji nie znajduje się także w obszarze Natura 2000, jego realizacja             nie wymaga zatem uzyskania decyzji o środowiskowych uwarunkowaniach, o której </w:t>
      </w:r>
      <w:r>
        <w:rPr>
          <w:rFonts w:ascii="CourierNewPSMT" w:hAnsi="CourierNewPSMT" w:cs="CourierNewPSMT"/>
          <w:sz w:val="24"/>
          <w:szCs w:val="24"/>
        </w:rPr>
        <w:lastRenderedPageBreak/>
        <w:t>mowa w Ustawie z dnia 27.04.2001r. – Prawo ochrony środowiska (</w:t>
      </w:r>
      <w:proofErr w:type="spellStart"/>
      <w:r>
        <w:rPr>
          <w:rFonts w:ascii="CourierNewPSMT" w:hAnsi="CourierNewPSMT" w:cs="CourierNewPSMT"/>
          <w:sz w:val="24"/>
          <w:szCs w:val="24"/>
        </w:rPr>
        <w:t>Dz.U</w:t>
      </w:r>
      <w:proofErr w:type="spellEnd"/>
      <w:r>
        <w:rPr>
          <w:rFonts w:ascii="CourierNewPSMT" w:hAnsi="CourierNewPSMT" w:cs="CourierNewPSMT"/>
          <w:sz w:val="24"/>
          <w:szCs w:val="24"/>
        </w:rPr>
        <w:t>.                       z 2008r, Nr25, poz.150 z późniejszymi zmianami), oraz Ustawie z dnia 3.10.2008r,            o udostępnianiu informacji o środowisku i jego ochronie, udziale społeczeństwa               w ochronie środowiska oraz ocenach oddziaływania na środowisko (Dz.U.Nr199, poz.1227 z dnia 7.11.2008r).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W zasięgu terenu objętego niniejszym opracowaniem nie występują obiekty stanowiące dobra kultury w rozumieniu Ustawy z dnia 23.07.2003r. o ochronie zabytków i opiece nad zabytkami (</w:t>
      </w:r>
      <w:proofErr w:type="spellStart"/>
      <w:r>
        <w:rPr>
          <w:rFonts w:ascii="CourierNewPSMT" w:hAnsi="CourierNewPSMT" w:cs="CourierNewPSMT"/>
          <w:sz w:val="24"/>
          <w:szCs w:val="24"/>
        </w:rPr>
        <w:t>Dz.U.Nr</w:t>
      </w:r>
      <w:proofErr w:type="spellEnd"/>
      <w:r>
        <w:rPr>
          <w:rFonts w:ascii="CourierNewPSMT" w:hAnsi="CourierNewPSMT" w:cs="CourierNewPSMT"/>
          <w:sz w:val="24"/>
          <w:szCs w:val="24"/>
        </w:rPr>
        <w:t xml:space="preserve"> 162, poz.1568 z dnia 17.09.2003r).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Teren inwestycji nie leży w miejscowości uzdrowiskowej.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Teren inwestycji nie jest objęty ochroną konserwatorską.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Teren inwestycji nie jest położony w pasie ochronnym morskich portów i przystani.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Działka nie znajduje się na terenie ani w zasięgu terenu górniczego, a więc nie podlega wymogom ustawy Prawo Górnicze i Geologiczne z dnia 04.02.1994r.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Teren inwestycji nie leży na terenie zagrożonym osuwaniem się mas ziemnych.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  <w:rPr>
          <w:rFonts w:ascii="CourierNewPSMT" w:hAnsi="CourierNewPSMT" w:cs="CourierNewPSMT"/>
          <w:sz w:val="24"/>
          <w:szCs w:val="24"/>
        </w:rPr>
      </w:pPr>
      <w:r>
        <w:rPr>
          <w:rFonts w:ascii="CourierNewPSMT" w:hAnsi="CourierNewPSMT" w:cs="CourierNewPSMT"/>
          <w:sz w:val="24"/>
          <w:szCs w:val="24"/>
        </w:rPr>
        <w:t>Przedsięwzięcie inwestycyjne nie powoduje naruszenia interesów osób trzecich,           a w szczególności: dostępu do drogi publicznej, możliwości korzystania z wody, kanalizacji, energii elektrycznej i cieplnej, dostępu światła dziennego do pomieszczeń przeznaczonych na pobyt ludzi.</w:t>
      </w:r>
    </w:p>
    <w:p w:rsidR="00C90DD3" w:rsidRDefault="00C90DD3" w:rsidP="00C90DD3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ourierNewPSMT" w:hAnsi="CourierNewPSMT" w:cs="CourierNewPSMT"/>
          <w:sz w:val="24"/>
          <w:szCs w:val="24"/>
        </w:rPr>
        <w:t>Przedsięwzięcie inwestycyjne nie będzie powodować uciążliwości powodowanych przez hałas, wibracje oraz zakłócenia elektryczne, elektromagnetyczne                              i promieniowanie, zanieczyszczenia powietrza, wody i gleby.</w:t>
      </w:r>
    </w:p>
    <w:sectPr w:rsidR="00C90DD3" w:rsidSect="00661C5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New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74F4"/>
    <w:rsid w:val="004239B8"/>
    <w:rsid w:val="00661C51"/>
    <w:rsid w:val="00B37891"/>
    <w:rsid w:val="00C90DD3"/>
    <w:rsid w:val="00F1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ewa.waw</dc:creator>
  <cp:lastModifiedBy>ewa.waw</cp:lastModifiedBy>
  <cp:revision>1</cp:revision>
  <dcterms:created xsi:type="dcterms:W3CDTF">2014-08-20T07:16:00Z</dcterms:created>
  <dcterms:modified xsi:type="dcterms:W3CDTF">2014-08-20T08:21:00Z</dcterms:modified>
</cp:coreProperties>
</file>